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left="529" w:leftChars="-34" w:hanging="600" w:hangingChars="200"/>
        <w:rPr>
          <w:rFonts w:ascii="仿宋" w:hAnsi="仿宋" w:eastAsia="仿宋"/>
          <w:sz w:val="32"/>
          <w:szCs w:val="32"/>
        </w:rPr>
      </w:pPr>
      <w:r>
        <w:rPr>
          <w:rFonts w:hint="eastAsia" w:cs="宋体"/>
          <w:sz w:val="30"/>
          <w:szCs w:val="30"/>
        </w:rPr>
        <w:drawing>
          <wp:anchor distT="0" distB="0" distL="114300" distR="114300" simplePos="0" relativeHeight="251660288" behindDoc="0" locked="0" layoutInCell="1" allowOverlap="1">
            <wp:simplePos x="0" y="0"/>
            <wp:positionH relativeFrom="margin">
              <wp:posOffset>-171450</wp:posOffset>
            </wp:positionH>
            <wp:positionV relativeFrom="paragraph">
              <wp:posOffset>-635</wp:posOffset>
            </wp:positionV>
            <wp:extent cx="6165850" cy="1200150"/>
            <wp:effectExtent l="0" t="0" r="0" b="0"/>
            <wp:wrapNone/>
            <wp:docPr id="1" name="图片 1" descr="课题5  -EOD与片区开发班培训-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题5  -EOD与片区开发班培训-1"/>
                    <pic:cNvPicPr>
                      <a:picLocks noChangeAspect="1"/>
                    </pic:cNvPicPr>
                  </pic:nvPicPr>
                  <pic:blipFill>
                    <a:blip r:embed="rId5"/>
                    <a:stretch>
                      <a:fillRect/>
                    </a:stretch>
                  </pic:blipFill>
                  <pic:spPr>
                    <a:xfrm>
                      <a:off x="0" y="0"/>
                      <a:ext cx="6165850" cy="1200150"/>
                    </a:xfrm>
                    <a:prstGeom prst="rect">
                      <a:avLst/>
                    </a:prstGeom>
                  </pic:spPr>
                </pic:pic>
              </a:graphicData>
            </a:graphic>
          </wp:anchor>
        </w:drawing>
      </w:r>
    </w:p>
    <w:p>
      <w:pPr>
        <w:spacing w:line="800" w:lineRule="exact"/>
        <w:ind w:left="569" w:leftChars="-34" w:hanging="640" w:hangingChars="200"/>
        <w:rPr>
          <w:rFonts w:ascii="仿宋" w:hAnsi="仿宋" w:eastAsia="仿宋"/>
          <w:sz w:val="32"/>
          <w:szCs w:val="32"/>
        </w:rPr>
      </w:pPr>
    </w:p>
    <w:p>
      <w:pPr>
        <w:spacing w:line="440" w:lineRule="exact"/>
        <w:jc w:val="center"/>
        <w:rPr>
          <w:rFonts w:ascii="仿宋" w:hAnsi="仿宋" w:eastAsia="仿宋"/>
          <w:sz w:val="32"/>
          <w:szCs w:val="32"/>
        </w:rPr>
      </w:pPr>
      <w:r>
        <w:rPr>
          <w:rFonts w:hint="eastAsia" w:ascii="仿宋" w:hAnsi="仿宋" w:eastAsia="仿宋"/>
          <w:sz w:val="32"/>
          <w:szCs w:val="32"/>
        </w:rPr>
        <w:t xml:space="preserve">   </w:t>
      </w:r>
    </w:p>
    <w:p>
      <w:pPr>
        <w:spacing w:line="440" w:lineRule="exact"/>
        <w:jc w:val="center"/>
        <w:rPr>
          <w:rFonts w:ascii="仿宋" w:hAnsi="仿宋" w:eastAsia="仿宋" w:cs="宋体"/>
          <w:b/>
          <w:bCs/>
          <w:sz w:val="28"/>
          <w:szCs w:val="28"/>
        </w:rPr>
      </w:pPr>
      <w:r>
        <w:rPr>
          <w:rFonts w:ascii="仿宋" w:hAnsi="仿宋" w:eastAsia="仿宋" w:cs="宋体"/>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311150</wp:posOffset>
                </wp:positionV>
                <wp:extent cx="6882130" cy="11430"/>
                <wp:effectExtent l="19050" t="19050" r="33020" b="26670"/>
                <wp:wrapNone/>
                <wp:docPr id="3" name="直接连接符 1"/>
                <wp:cNvGraphicFramePr/>
                <a:graphic xmlns:a="http://schemas.openxmlformats.org/drawingml/2006/main">
                  <a:graphicData uri="http://schemas.microsoft.com/office/word/2010/wordprocessingShape">
                    <wps:wsp>
                      <wps:cNvCnPr/>
                      <wps:spPr>
                        <a:xfrm flipV="1">
                          <a:off x="0" y="0"/>
                          <a:ext cx="6882130" cy="11430"/>
                        </a:xfrm>
                        <a:prstGeom prst="line">
                          <a:avLst/>
                        </a:prstGeom>
                        <a:ln w="28575" cap="flat" cmpd="sng">
                          <a:solidFill>
                            <a:srgbClr val="FF0000"/>
                          </a:solidFill>
                          <a:prstDash val="solid"/>
                          <a:headEnd type="none" w="med" len="med"/>
                          <a:tailEnd type="none" w="med" len="med"/>
                        </a:ln>
                        <a:effectLst/>
                      </wps:spPr>
                      <wps:bodyPr/>
                    </wps:wsp>
                  </a:graphicData>
                </a:graphic>
              </wp:anchor>
            </w:drawing>
          </mc:Choice>
          <mc:Fallback>
            <w:pict>
              <v:line id="直接连接符 1" o:spid="_x0000_s1026" o:spt="20" style="position:absolute;left:0pt;flip:y;margin-top:24.5pt;height:0.9pt;width:541.9pt;mso-position-horizontal:center;mso-position-horizontal-relative:margin;z-index:251659264;mso-width-relative:page;mso-height-relative:page;" filled="f" stroked="t" coordsize="21600,21600" o:gfxdata="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6PCfbZAAAABwEAAA8AAAAAAAAAAQAgAAAAIgAAAGRycy9kb3du&#10;cmV2LnhtbFBLAQIUABQAAAAIAIdO4kC2m4oi/gEAAPUDAAAOAAAAAAAAAAEAIAAAACgBAABkcnMv&#10;ZTJvRG9jLnhtbFBLBQYAAAAABgAGAFkBAACYBQAAAAA=&#10;">
                <v:fill on="f" focussize="0,0"/>
                <v:stroke weight="2.25pt" color="#FF0000" joinstyle="round"/>
                <v:imagedata o:title=""/>
                <o:lock v:ext="edit" aspectratio="f"/>
              </v:line>
            </w:pict>
          </mc:Fallback>
        </mc:AlternateContent>
      </w:r>
      <w:r>
        <w:rPr>
          <w:rFonts w:hint="eastAsia" w:ascii="仿宋" w:hAnsi="仿宋" w:eastAsia="仿宋" w:cs="宋体"/>
          <w:b/>
          <w:bCs/>
          <w:sz w:val="28"/>
          <w:szCs w:val="28"/>
        </w:rPr>
        <w:t>投融培字</w:t>
      </w:r>
      <w:r>
        <w:rPr>
          <w:rFonts w:hint="eastAsia" w:ascii="仿宋" w:hAnsi="仿宋" w:eastAsia="仿宋" w:cs="宋体"/>
          <w:sz w:val="28"/>
          <w:szCs w:val="28"/>
        </w:rPr>
        <w:t>[</w:t>
      </w:r>
      <w:r>
        <w:rPr>
          <w:rFonts w:ascii="仿宋" w:hAnsi="仿宋" w:eastAsia="仿宋" w:cs="宋体"/>
          <w:sz w:val="28"/>
          <w:szCs w:val="28"/>
        </w:rPr>
        <w:t>2024]0</w:t>
      </w:r>
      <w:r>
        <w:rPr>
          <w:rFonts w:hint="eastAsia" w:ascii="仿宋" w:hAnsi="仿宋" w:eastAsia="仿宋" w:cs="宋体"/>
          <w:sz w:val="28"/>
          <w:szCs w:val="28"/>
        </w:rPr>
        <w:t>10号</w:t>
      </w:r>
    </w:p>
    <w:p>
      <w:pPr>
        <w:spacing w:line="480" w:lineRule="exact"/>
        <w:ind w:left="569" w:leftChars="-34" w:hanging="640" w:hangingChars="200"/>
        <w:rPr>
          <w:rFonts w:ascii="仿宋" w:hAnsi="仿宋" w:eastAsia="仿宋"/>
          <w:sz w:val="32"/>
          <w:szCs w:val="32"/>
        </w:rPr>
      </w:pPr>
    </w:p>
    <w:p>
      <w:pPr>
        <w:spacing w:line="360" w:lineRule="exact"/>
        <w:jc w:val="center"/>
        <w:rPr>
          <w:rFonts w:ascii="仿宋" w:hAnsi="仿宋" w:eastAsia="仿宋"/>
          <w:bCs/>
          <w:color w:val="000000"/>
          <w:sz w:val="28"/>
          <w:szCs w:val="28"/>
        </w:rPr>
      </w:pPr>
      <w:r>
        <w:rPr>
          <w:rFonts w:hint="eastAsia" w:ascii="仿宋" w:hAnsi="仿宋" w:eastAsia="仿宋" w:cs="宋体"/>
          <w:b/>
          <w:bCs/>
          <w:sz w:val="30"/>
          <w:szCs w:val="30"/>
        </w:rPr>
        <w:t>关于举办 “《新清标(征)》与《总计规》条文解读、工程全过程造价管控实务及EPC计价典型案例、合同及索赔管理、造价审计暨招标采购管理实务与案例高级培训班”的通知</w:t>
      </w:r>
    </w:p>
    <w:p>
      <w:pPr>
        <w:spacing w:line="440" w:lineRule="exact"/>
        <w:rPr>
          <w:rFonts w:ascii="仿宋" w:hAnsi="仿宋" w:eastAsia="仿宋"/>
          <w:bCs/>
          <w:color w:val="000000"/>
          <w:sz w:val="28"/>
          <w:szCs w:val="28"/>
        </w:rPr>
      </w:pPr>
    </w:p>
    <w:p>
      <w:pPr>
        <w:spacing w:line="640" w:lineRule="exact"/>
        <w:rPr>
          <w:rFonts w:ascii="仿宋" w:hAnsi="仿宋" w:eastAsia="仿宋"/>
          <w:bCs/>
          <w:color w:val="000000"/>
          <w:sz w:val="28"/>
          <w:szCs w:val="28"/>
        </w:rPr>
      </w:pPr>
      <w:r>
        <w:rPr>
          <w:rFonts w:hint="eastAsia" w:ascii="仿宋" w:hAnsi="仿宋" w:eastAsia="仿宋"/>
          <w:bCs/>
          <w:color w:val="000000"/>
          <w:sz w:val="28"/>
          <w:szCs w:val="28"/>
        </w:rPr>
        <w:t xml:space="preserve">各有关单位：  </w:t>
      </w:r>
    </w:p>
    <w:p>
      <w:pPr>
        <w:spacing w:line="640" w:lineRule="exact"/>
        <w:ind w:firstLine="560" w:firstLineChars="200"/>
        <w:rPr>
          <w:rFonts w:ascii="仿宋" w:hAnsi="仿宋" w:eastAsia="仿宋"/>
          <w:bCs/>
          <w:sz w:val="28"/>
          <w:szCs w:val="28"/>
        </w:rPr>
      </w:pPr>
      <w:r>
        <w:rPr>
          <w:rFonts w:hint="eastAsia" w:ascii="仿宋" w:hAnsi="仿宋" w:eastAsia="仿宋"/>
          <w:bCs/>
          <w:sz w:val="28"/>
          <w:szCs w:val="28"/>
        </w:rPr>
        <w:t>继2021年住建部发布《清单计价标准(征)》(建〔2021〕144号）后，</w:t>
      </w:r>
      <w:r>
        <w:rPr>
          <w:rFonts w:ascii="仿宋" w:hAnsi="仿宋" w:eastAsia="仿宋"/>
          <w:bCs/>
          <w:sz w:val="28"/>
          <w:szCs w:val="28"/>
        </w:rPr>
        <w:t>经充分酝酿，</w:t>
      </w:r>
      <w:r>
        <w:rPr>
          <w:rFonts w:hint="eastAsia" w:ascii="仿宋" w:hAnsi="仿宋" w:eastAsia="仿宋"/>
          <w:bCs/>
          <w:sz w:val="28"/>
          <w:szCs w:val="28"/>
        </w:rPr>
        <w:t>20</w:t>
      </w:r>
      <w:r>
        <w:rPr>
          <w:rFonts w:ascii="仿宋" w:hAnsi="仿宋" w:eastAsia="仿宋"/>
          <w:bCs/>
          <w:sz w:val="28"/>
          <w:szCs w:val="28"/>
        </w:rPr>
        <w:t>23年11月住建部发布最新一版《建设工程工程量清单计价标准</w:t>
      </w:r>
      <w:r>
        <w:rPr>
          <w:rFonts w:hint="eastAsia" w:ascii="仿宋" w:hAnsi="仿宋" w:eastAsia="仿宋"/>
          <w:bCs/>
          <w:sz w:val="28"/>
          <w:szCs w:val="28"/>
        </w:rPr>
        <w:t>(</w:t>
      </w:r>
      <w:r>
        <w:rPr>
          <w:rFonts w:ascii="仿宋" w:hAnsi="仿宋" w:eastAsia="仿宋"/>
          <w:bCs/>
          <w:sz w:val="28"/>
          <w:szCs w:val="28"/>
        </w:rPr>
        <w:t>征求意见稿</w:t>
      </w:r>
      <w:r>
        <w:rPr>
          <w:rFonts w:hint="eastAsia" w:ascii="仿宋" w:hAnsi="仿宋" w:eastAsia="仿宋"/>
          <w:bCs/>
          <w:sz w:val="28"/>
          <w:szCs w:val="28"/>
        </w:rPr>
        <w:t>)》</w:t>
      </w:r>
      <w:r>
        <w:rPr>
          <w:rFonts w:ascii="仿宋" w:hAnsi="仿宋" w:eastAsia="仿宋"/>
          <w:bCs/>
          <w:sz w:val="28"/>
          <w:szCs w:val="28"/>
        </w:rPr>
        <w:t>（</w:t>
      </w:r>
      <w:r>
        <w:rPr>
          <w:rFonts w:hint="eastAsia" w:ascii="仿宋" w:hAnsi="仿宋" w:eastAsia="仿宋"/>
          <w:bCs/>
          <w:sz w:val="28"/>
          <w:szCs w:val="28"/>
        </w:rPr>
        <w:t>以下</w:t>
      </w:r>
      <w:r>
        <w:rPr>
          <w:rFonts w:ascii="仿宋" w:hAnsi="仿宋" w:eastAsia="仿宋"/>
          <w:bCs/>
          <w:sz w:val="28"/>
          <w:szCs w:val="28"/>
        </w:rPr>
        <w:t>简称“</w:t>
      </w:r>
      <w:r>
        <w:rPr>
          <w:rFonts w:hint="eastAsia" w:ascii="仿宋" w:hAnsi="仿宋" w:eastAsia="仿宋"/>
          <w:bCs/>
          <w:sz w:val="28"/>
          <w:szCs w:val="28"/>
        </w:rPr>
        <w:t>《</w:t>
      </w:r>
      <w:r>
        <w:rPr>
          <w:rFonts w:ascii="仿宋" w:hAnsi="仿宋" w:eastAsia="仿宋"/>
          <w:bCs/>
          <w:sz w:val="28"/>
          <w:szCs w:val="28"/>
        </w:rPr>
        <w:t>23</w:t>
      </w:r>
      <w:r>
        <w:rPr>
          <w:rFonts w:hint="eastAsia" w:ascii="仿宋" w:hAnsi="仿宋" w:eastAsia="仿宋"/>
          <w:bCs/>
          <w:sz w:val="28"/>
          <w:szCs w:val="28"/>
        </w:rPr>
        <w:t>清标</w:t>
      </w:r>
      <w:r>
        <w:rPr>
          <w:rFonts w:ascii="仿宋" w:hAnsi="仿宋" w:eastAsia="仿宋"/>
          <w:bCs/>
          <w:sz w:val="28"/>
          <w:szCs w:val="28"/>
        </w:rPr>
        <w:t>(征)</w:t>
      </w:r>
      <w:r>
        <w:rPr>
          <w:rFonts w:hint="eastAsia" w:ascii="仿宋" w:hAnsi="仿宋" w:eastAsia="仿宋"/>
          <w:bCs/>
          <w:sz w:val="28"/>
          <w:szCs w:val="28"/>
        </w:rPr>
        <w:t>》</w:t>
      </w:r>
      <w:r>
        <w:rPr>
          <w:rFonts w:ascii="仿宋" w:hAnsi="仿宋" w:eastAsia="仿宋"/>
          <w:bCs/>
          <w:sz w:val="28"/>
          <w:szCs w:val="28"/>
        </w:rPr>
        <w:t>”），清单计价标准修订工作进入加速收官阶段，“新清标”有望近期出台。</w:t>
      </w:r>
      <w:r>
        <w:rPr>
          <w:rFonts w:hint="eastAsia" w:ascii="仿宋" w:hAnsi="仿宋" w:eastAsia="仿宋"/>
          <w:bCs/>
          <w:sz w:val="28"/>
          <w:szCs w:val="28"/>
        </w:rPr>
        <w:t>即将出台的</w:t>
      </w:r>
      <w:r>
        <w:rPr>
          <w:rFonts w:ascii="仿宋" w:hAnsi="仿宋" w:eastAsia="仿宋"/>
          <w:bCs/>
          <w:sz w:val="28"/>
          <w:szCs w:val="28"/>
        </w:rPr>
        <w:t>“新清标”</w:t>
      </w:r>
      <w:r>
        <w:rPr>
          <w:rFonts w:hint="eastAsia" w:ascii="仿宋" w:hAnsi="仿宋" w:eastAsia="仿宋"/>
          <w:bCs/>
          <w:sz w:val="28"/>
          <w:szCs w:val="28"/>
        </w:rPr>
        <w:t>与《13清规》相比，在标准性质和</w:t>
      </w:r>
      <w:r>
        <w:rPr>
          <w:rFonts w:ascii="仿宋" w:hAnsi="仿宋" w:eastAsia="仿宋"/>
          <w:bCs/>
          <w:sz w:val="28"/>
          <w:szCs w:val="28"/>
        </w:rPr>
        <w:t>作用</w:t>
      </w:r>
      <w:r>
        <w:rPr>
          <w:rFonts w:hint="eastAsia" w:ascii="仿宋" w:hAnsi="仿宋" w:eastAsia="仿宋"/>
          <w:bCs/>
          <w:sz w:val="28"/>
          <w:szCs w:val="28"/>
        </w:rPr>
        <w:t>、清单责任归属、单价合同与</w:t>
      </w:r>
      <w:r>
        <w:rPr>
          <w:rFonts w:ascii="仿宋" w:hAnsi="仿宋" w:eastAsia="仿宋"/>
          <w:bCs/>
          <w:sz w:val="28"/>
          <w:szCs w:val="28"/>
        </w:rPr>
        <w:t>总价合同区分</w:t>
      </w:r>
      <w:r>
        <w:rPr>
          <w:rFonts w:hint="eastAsia" w:ascii="仿宋" w:hAnsi="仿宋" w:eastAsia="仿宋"/>
          <w:bCs/>
          <w:sz w:val="28"/>
          <w:szCs w:val="28"/>
        </w:rPr>
        <w:t>、招控价编制与</w:t>
      </w:r>
      <w:r>
        <w:rPr>
          <w:rFonts w:ascii="仿宋" w:hAnsi="仿宋" w:eastAsia="仿宋"/>
          <w:bCs/>
          <w:sz w:val="28"/>
          <w:szCs w:val="28"/>
        </w:rPr>
        <w:t>审核</w:t>
      </w:r>
      <w:r>
        <w:rPr>
          <w:rFonts w:hint="eastAsia" w:ascii="仿宋" w:hAnsi="仿宋" w:eastAsia="仿宋"/>
          <w:bCs/>
          <w:sz w:val="28"/>
          <w:szCs w:val="28"/>
        </w:rPr>
        <w:t>、安全文明措施费计价与</w:t>
      </w:r>
      <w:r>
        <w:rPr>
          <w:rFonts w:ascii="仿宋" w:hAnsi="仿宋" w:eastAsia="仿宋"/>
          <w:bCs/>
          <w:sz w:val="28"/>
          <w:szCs w:val="28"/>
        </w:rPr>
        <w:t>结算</w:t>
      </w:r>
      <w:r>
        <w:rPr>
          <w:rFonts w:hint="eastAsia" w:ascii="仿宋" w:hAnsi="仿宋" w:eastAsia="仿宋"/>
          <w:bCs/>
          <w:sz w:val="28"/>
          <w:szCs w:val="28"/>
        </w:rPr>
        <w:t>、过程结算的落实推行、不平衡报价处理、风险调价方法及变更签证等内容上有重大变化。另外</w:t>
      </w:r>
      <w:r>
        <w:rPr>
          <w:rFonts w:ascii="仿宋" w:hAnsi="仿宋" w:eastAsia="仿宋"/>
          <w:bCs/>
          <w:sz w:val="28"/>
          <w:szCs w:val="28"/>
        </w:rPr>
        <w:t>，</w:t>
      </w:r>
      <w:r>
        <w:rPr>
          <w:rFonts w:hint="eastAsia" w:ascii="仿宋" w:hAnsi="仿宋" w:eastAsia="仿宋"/>
          <w:bCs/>
          <w:sz w:val="28"/>
          <w:szCs w:val="28"/>
        </w:rPr>
        <w:t>住建部、财政部等部门近期发布《企业安全生产费用提取和使用管理办法》（财资〔2022〕136号）、《关于完善建设工程价款结算有关办法的通知》（财建〔2022〕183号）、《工程造价改革工作方案》（建办标〔2020〕38号）等计价政策文件。上述工程</w:t>
      </w:r>
      <w:r>
        <w:rPr>
          <w:rFonts w:ascii="仿宋" w:hAnsi="仿宋" w:eastAsia="仿宋"/>
          <w:bCs/>
          <w:sz w:val="28"/>
          <w:szCs w:val="28"/>
        </w:rPr>
        <w:t>造价领域的最新法规文件，</w:t>
      </w:r>
      <w:r>
        <w:rPr>
          <w:rFonts w:hint="eastAsia" w:ascii="仿宋" w:hAnsi="仿宋" w:eastAsia="仿宋"/>
          <w:bCs/>
          <w:sz w:val="28"/>
          <w:szCs w:val="28"/>
        </w:rPr>
        <w:t>将会对我国施工</w:t>
      </w:r>
      <w:r>
        <w:rPr>
          <w:rFonts w:ascii="仿宋" w:hAnsi="仿宋" w:eastAsia="仿宋"/>
          <w:bCs/>
          <w:sz w:val="28"/>
          <w:szCs w:val="28"/>
        </w:rPr>
        <w:t>承包造价</w:t>
      </w:r>
      <w:r>
        <w:rPr>
          <w:rFonts w:hint="eastAsia" w:ascii="仿宋" w:hAnsi="仿宋" w:eastAsia="仿宋"/>
          <w:bCs/>
          <w:sz w:val="28"/>
          <w:szCs w:val="28"/>
        </w:rPr>
        <w:t>管控领域</w:t>
      </w:r>
      <w:r>
        <w:rPr>
          <w:rFonts w:ascii="仿宋" w:hAnsi="仿宋" w:eastAsia="仿宋"/>
          <w:bCs/>
          <w:sz w:val="28"/>
          <w:szCs w:val="28"/>
        </w:rPr>
        <w:t>的</w:t>
      </w:r>
      <w:r>
        <w:rPr>
          <w:rFonts w:hint="eastAsia" w:ascii="仿宋" w:hAnsi="仿宋" w:eastAsia="仿宋"/>
          <w:bCs/>
          <w:sz w:val="28"/>
          <w:szCs w:val="28"/>
        </w:rPr>
        <w:t>发展</w:t>
      </w:r>
      <w:r>
        <w:rPr>
          <w:rFonts w:ascii="仿宋" w:hAnsi="仿宋" w:eastAsia="仿宋"/>
          <w:bCs/>
          <w:sz w:val="28"/>
          <w:szCs w:val="28"/>
        </w:rPr>
        <w:t>和</w:t>
      </w:r>
      <w:r>
        <w:rPr>
          <w:rFonts w:hint="eastAsia" w:ascii="仿宋" w:hAnsi="仿宋" w:eastAsia="仿宋"/>
          <w:bCs/>
          <w:sz w:val="28"/>
          <w:szCs w:val="28"/>
        </w:rPr>
        <w:t>突破产生深远影响。</w:t>
      </w:r>
    </w:p>
    <w:p>
      <w:pPr>
        <w:spacing w:line="640" w:lineRule="exact"/>
        <w:ind w:firstLine="560" w:firstLineChars="200"/>
        <w:rPr>
          <w:rFonts w:ascii="仿宋" w:hAnsi="仿宋" w:eastAsia="仿宋"/>
          <w:bCs/>
          <w:sz w:val="28"/>
          <w:szCs w:val="28"/>
        </w:rPr>
      </w:pPr>
      <w:r>
        <w:rPr>
          <w:rFonts w:hint="eastAsia" w:ascii="仿宋" w:hAnsi="仿宋" w:eastAsia="仿宋"/>
          <w:bCs/>
          <w:sz w:val="28"/>
          <w:szCs w:val="28"/>
        </w:rPr>
        <w:t>目前我国EPC投资控制、计价与结算呈现 “粗放”态势，很多项目最后</w:t>
      </w:r>
      <w:r>
        <w:rPr>
          <w:rFonts w:ascii="仿宋" w:hAnsi="仿宋" w:eastAsia="仿宋"/>
          <w:bCs/>
          <w:sz w:val="28"/>
          <w:szCs w:val="28"/>
        </w:rPr>
        <w:t>是</w:t>
      </w:r>
      <w:r>
        <w:rPr>
          <w:rFonts w:hint="eastAsia" w:ascii="仿宋" w:hAnsi="仿宋" w:eastAsia="仿宋"/>
          <w:bCs/>
          <w:sz w:val="28"/>
          <w:szCs w:val="28"/>
        </w:rPr>
        <w:t xml:space="preserve"> “据实结算”，突破了“限额”和</w:t>
      </w:r>
      <w:r>
        <w:rPr>
          <w:rFonts w:ascii="仿宋" w:hAnsi="仿宋" w:eastAsia="仿宋"/>
          <w:bCs/>
          <w:sz w:val="28"/>
          <w:szCs w:val="28"/>
        </w:rPr>
        <w:t>“</w:t>
      </w:r>
      <w:r>
        <w:rPr>
          <w:rFonts w:hint="eastAsia" w:ascii="仿宋" w:hAnsi="仿宋" w:eastAsia="仿宋"/>
          <w:bCs/>
          <w:sz w:val="28"/>
          <w:szCs w:val="28"/>
        </w:rPr>
        <w:t>概算</w:t>
      </w:r>
      <w:r>
        <w:rPr>
          <w:rFonts w:ascii="仿宋" w:hAnsi="仿宋" w:eastAsia="仿宋"/>
          <w:bCs/>
          <w:sz w:val="28"/>
          <w:szCs w:val="28"/>
        </w:rPr>
        <w:t>”</w:t>
      </w:r>
      <w:r>
        <w:rPr>
          <w:rFonts w:hint="eastAsia" w:ascii="仿宋" w:hAnsi="仿宋" w:eastAsia="仿宋"/>
          <w:bCs/>
          <w:sz w:val="28"/>
          <w:szCs w:val="28"/>
        </w:rPr>
        <w:t>，造成投资控制的被动。《建设工程总承包计价规范》（中价协〔2022〕53号，</w:t>
      </w:r>
      <w:r>
        <w:rPr>
          <w:rFonts w:ascii="仿宋" w:hAnsi="仿宋" w:eastAsia="仿宋"/>
          <w:bCs/>
          <w:sz w:val="28"/>
          <w:szCs w:val="28"/>
        </w:rPr>
        <w:t>以</w:t>
      </w:r>
      <w:r>
        <w:rPr>
          <w:rFonts w:hint="eastAsia" w:ascii="仿宋" w:hAnsi="仿宋" w:eastAsia="仿宋"/>
          <w:bCs/>
          <w:sz w:val="28"/>
          <w:szCs w:val="28"/>
        </w:rPr>
        <w:t>下</w:t>
      </w:r>
      <w:r>
        <w:rPr>
          <w:rFonts w:ascii="仿宋" w:hAnsi="仿宋" w:eastAsia="仿宋"/>
          <w:bCs/>
          <w:sz w:val="28"/>
          <w:szCs w:val="28"/>
        </w:rPr>
        <w:t>简称“</w:t>
      </w:r>
      <w:r>
        <w:rPr>
          <w:rFonts w:hint="eastAsia" w:ascii="仿宋" w:hAnsi="仿宋" w:eastAsia="仿宋"/>
          <w:bCs/>
          <w:sz w:val="28"/>
          <w:szCs w:val="28"/>
        </w:rPr>
        <w:t>《22总计规》</w:t>
      </w:r>
      <w:r>
        <w:rPr>
          <w:rFonts w:ascii="仿宋" w:hAnsi="仿宋" w:eastAsia="仿宋"/>
          <w:bCs/>
          <w:sz w:val="28"/>
          <w:szCs w:val="28"/>
        </w:rPr>
        <w:t>”</w:t>
      </w:r>
      <w:r>
        <w:rPr>
          <w:rFonts w:hint="eastAsia" w:ascii="仿宋" w:hAnsi="仿宋" w:eastAsia="仿宋"/>
          <w:bCs/>
          <w:sz w:val="28"/>
          <w:szCs w:val="28"/>
        </w:rPr>
        <w:t>）的出台施行，填补了行业标准的空白，但在合同形式选择(倾向总价合同)、评标定标机制（标底使用）、指数法调价差、E</w:t>
      </w:r>
      <w:r>
        <w:rPr>
          <w:rFonts w:ascii="仿宋" w:hAnsi="仿宋" w:eastAsia="仿宋"/>
          <w:bCs/>
          <w:sz w:val="28"/>
          <w:szCs w:val="28"/>
        </w:rPr>
        <w:t>PC</w:t>
      </w:r>
      <w:r>
        <w:rPr>
          <w:rFonts w:hint="eastAsia" w:ascii="仿宋" w:hAnsi="仿宋" w:eastAsia="仿宋"/>
          <w:bCs/>
          <w:sz w:val="28"/>
          <w:szCs w:val="28"/>
        </w:rPr>
        <w:t>结算审计风险等方面，《22总计规》的规定与我国EPC计价实践存在脱节现象，相关管理</w:t>
      </w:r>
      <w:r>
        <w:rPr>
          <w:rFonts w:ascii="仿宋" w:hAnsi="仿宋" w:eastAsia="仿宋"/>
          <w:bCs/>
          <w:sz w:val="28"/>
          <w:szCs w:val="28"/>
        </w:rPr>
        <w:t>人员仍需通过</w:t>
      </w:r>
      <w:r>
        <w:rPr>
          <w:rFonts w:hint="eastAsia" w:ascii="仿宋" w:hAnsi="仿宋" w:eastAsia="仿宋"/>
          <w:bCs/>
          <w:sz w:val="28"/>
          <w:szCs w:val="28"/>
        </w:rPr>
        <w:t>深入</w:t>
      </w:r>
      <w:r>
        <w:rPr>
          <w:rFonts w:ascii="仿宋" w:hAnsi="仿宋" w:eastAsia="仿宋"/>
          <w:bCs/>
          <w:sz w:val="28"/>
          <w:szCs w:val="28"/>
        </w:rPr>
        <w:t>的</w:t>
      </w:r>
      <w:r>
        <w:rPr>
          <w:rFonts w:hint="eastAsia" w:ascii="仿宋" w:hAnsi="仿宋" w:eastAsia="仿宋"/>
          <w:bCs/>
          <w:sz w:val="28"/>
          <w:szCs w:val="28"/>
        </w:rPr>
        <w:t>专业研修对EPC项目计价与</w:t>
      </w:r>
      <w:r>
        <w:rPr>
          <w:rFonts w:ascii="仿宋" w:hAnsi="仿宋" w:eastAsia="仿宋"/>
          <w:bCs/>
          <w:sz w:val="28"/>
          <w:szCs w:val="28"/>
        </w:rPr>
        <w:t>结算</w:t>
      </w:r>
      <w:r>
        <w:rPr>
          <w:rFonts w:hint="eastAsia" w:ascii="仿宋" w:hAnsi="仿宋" w:eastAsia="仿宋"/>
          <w:bCs/>
          <w:sz w:val="28"/>
          <w:szCs w:val="28"/>
        </w:rPr>
        <w:t>作出针对性的完善</w:t>
      </w:r>
      <w:r>
        <w:rPr>
          <w:rFonts w:ascii="仿宋" w:hAnsi="仿宋" w:eastAsia="仿宋"/>
          <w:bCs/>
          <w:sz w:val="28"/>
          <w:szCs w:val="28"/>
        </w:rPr>
        <w:t>、改造和创新</w:t>
      </w:r>
      <w:r>
        <w:rPr>
          <w:rFonts w:hint="eastAsia" w:ascii="仿宋" w:hAnsi="仿宋" w:eastAsia="仿宋"/>
          <w:bCs/>
          <w:sz w:val="28"/>
          <w:szCs w:val="28"/>
        </w:rPr>
        <w:t>。</w:t>
      </w:r>
    </w:p>
    <w:p>
      <w:pPr>
        <w:spacing w:line="640" w:lineRule="exact"/>
        <w:ind w:firstLine="560" w:firstLineChars="200"/>
        <w:rPr>
          <w:rFonts w:ascii="仿宋" w:hAnsi="仿宋" w:eastAsia="仿宋"/>
          <w:sz w:val="28"/>
          <w:szCs w:val="28"/>
        </w:rPr>
      </w:pPr>
      <w:r>
        <w:rPr>
          <w:rFonts w:hint="eastAsia" w:ascii="仿宋" w:hAnsi="仿宋" w:eastAsia="仿宋"/>
          <w:sz w:val="28"/>
          <w:szCs w:val="28"/>
        </w:rPr>
        <w:t>针对当前招投标市场存在的招标人主体责任落实不到位，规避招标、虚假招标、围标串标、有关部门及领导干部插手干预等违法行为仍然易发高发等突出问题，从五方面提出了20项实务举措，旨在进一步夯实各方主体责任，强化自律意识，确保招标投标法规制度得以严格执行，推动招标投标市场规范有序健康发展，提高各单位工作人员的实务能力，做好纪检审计监督工作。</w:t>
      </w:r>
      <w:r>
        <w:rPr>
          <w:rFonts w:hint="eastAsia" w:ascii="仿宋" w:hAnsi="仿宋" w:eastAsia="仿宋" w:cs="宋体"/>
          <w:sz w:val="28"/>
          <w:szCs w:val="28"/>
        </w:rPr>
        <w:t>中国投资协会项目投融资专业委员会会同北京中科建宏工程咨询有限公司决定举办“《新清标(征)》与《总计规》关键条文解读、施工承包与工程总承包(EPC)项目计价结算、合同及</w:t>
      </w:r>
      <w:r>
        <w:rPr>
          <w:rFonts w:ascii="仿宋" w:hAnsi="仿宋" w:eastAsia="仿宋" w:cs="宋体"/>
          <w:sz w:val="28"/>
          <w:szCs w:val="28"/>
        </w:rPr>
        <w:t>索赔</w:t>
      </w:r>
      <w:r>
        <w:rPr>
          <w:rFonts w:hint="eastAsia" w:ascii="仿宋" w:hAnsi="仿宋" w:eastAsia="仿宋" w:cs="仿宋"/>
          <w:w w:val="95"/>
          <w:kern w:val="0"/>
          <w:sz w:val="28"/>
          <w:szCs w:val="28"/>
          <w:shd w:val="clear" w:color="000000" w:fill="auto"/>
        </w:rPr>
        <w:t>管理</w:t>
      </w:r>
      <w:r>
        <w:rPr>
          <w:rFonts w:hint="eastAsia" w:ascii="仿宋" w:hAnsi="仿宋" w:eastAsia="仿宋" w:cs="宋体"/>
          <w:sz w:val="28"/>
          <w:szCs w:val="28"/>
        </w:rPr>
        <w:t>、造价审计暨招标采购管理实务与案例高级培训班”的通知。请各单位积极组织本单位及下属单位相关人员参加。</w:t>
      </w:r>
    </w:p>
    <w:p>
      <w:pPr>
        <w:widowControl/>
        <w:spacing w:line="64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附件一、培训内容</w:t>
      </w:r>
    </w:p>
    <w:p>
      <w:pPr>
        <w:widowControl/>
        <w:spacing w:line="640" w:lineRule="exact"/>
        <w:ind w:firstLine="560" w:firstLineChars="200"/>
        <w:jc w:val="left"/>
        <w:rPr>
          <w:rFonts w:ascii="仿宋" w:hAnsi="仿宋" w:eastAsia="仿宋" w:cs="宋体"/>
          <w:sz w:val="28"/>
          <w:szCs w:val="28"/>
        </w:rPr>
      </w:pPr>
      <w:r>
        <w:rPr>
          <w:rFonts w:hint="eastAsia" w:ascii="仿宋" w:hAnsi="仿宋" w:eastAsia="仿宋"/>
          <w:sz w:val="28"/>
          <w:szCs w:val="28"/>
        </w:rPr>
        <w:drawing>
          <wp:anchor distT="0" distB="0" distL="114300" distR="114300" simplePos="0" relativeHeight="251661312" behindDoc="0" locked="0" layoutInCell="1" allowOverlap="1">
            <wp:simplePos x="0" y="0"/>
            <wp:positionH relativeFrom="column">
              <wp:posOffset>2684145</wp:posOffset>
            </wp:positionH>
            <wp:positionV relativeFrom="margin">
              <wp:posOffset>6504940</wp:posOffset>
            </wp:positionV>
            <wp:extent cx="3133725" cy="1798320"/>
            <wp:effectExtent l="0" t="0" r="0" b="0"/>
            <wp:wrapNone/>
            <wp:docPr id="20614716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47164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33725" cy="1798320"/>
                    </a:xfrm>
                    <a:prstGeom prst="rect">
                      <a:avLst/>
                    </a:prstGeom>
                    <a:noFill/>
                  </pic:spPr>
                </pic:pic>
              </a:graphicData>
            </a:graphic>
          </wp:anchor>
        </w:drawing>
      </w:r>
      <w:r>
        <w:rPr>
          <w:rFonts w:hint="eastAsia" w:ascii="仿宋" w:hAnsi="仿宋" w:eastAsia="仿宋" w:cs="宋体"/>
          <w:sz w:val="28"/>
          <w:szCs w:val="28"/>
        </w:rPr>
        <w:t>附件二、报名表</w:t>
      </w:r>
    </w:p>
    <w:p>
      <w:pPr>
        <w:widowControl/>
        <w:spacing w:line="380" w:lineRule="exact"/>
        <w:jc w:val="left"/>
        <w:rPr>
          <w:rFonts w:ascii="仿宋" w:hAnsi="仿宋" w:eastAsia="仿宋" w:cs="仿宋"/>
          <w:b/>
          <w:sz w:val="28"/>
          <w:szCs w:val="28"/>
        </w:rPr>
      </w:pPr>
    </w:p>
    <w:p>
      <w:pPr>
        <w:spacing w:line="480" w:lineRule="exact"/>
        <w:ind w:firstLine="4200" w:firstLineChars="1500"/>
        <w:rPr>
          <w:rFonts w:ascii="仿宋" w:hAnsi="仿宋" w:eastAsia="仿宋"/>
          <w:sz w:val="28"/>
          <w:szCs w:val="28"/>
        </w:rPr>
      </w:pPr>
    </w:p>
    <w:p>
      <w:pPr>
        <w:spacing w:line="480" w:lineRule="exact"/>
        <w:ind w:firstLine="4200" w:firstLineChars="1500"/>
        <w:rPr>
          <w:rFonts w:ascii="仿宋" w:hAnsi="仿宋" w:eastAsia="仿宋"/>
          <w:sz w:val="28"/>
          <w:szCs w:val="28"/>
        </w:rPr>
      </w:pPr>
    </w:p>
    <w:p>
      <w:pPr>
        <w:spacing w:line="480" w:lineRule="exact"/>
        <w:ind w:firstLine="4200" w:firstLineChars="1500"/>
        <w:rPr>
          <w:rFonts w:ascii="仿宋" w:hAnsi="仿宋" w:eastAsia="仿宋"/>
          <w:sz w:val="28"/>
          <w:szCs w:val="28"/>
        </w:rPr>
      </w:pPr>
    </w:p>
    <w:p>
      <w:pPr>
        <w:spacing w:line="480" w:lineRule="exact"/>
        <w:ind w:firstLine="4200" w:firstLineChars="1500"/>
        <w:rPr>
          <w:rFonts w:ascii="仿宋" w:hAnsi="仿宋" w:eastAsia="仿宋"/>
          <w:sz w:val="28"/>
          <w:szCs w:val="28"/>
        </w:rPr>
      </w:pPr>
    </w:p>
    <w:p>
      <w:pPr>
        <w:spacing w:line="480" w:lineRule="exact"/>
        <w:ind w:firstLine="4200" w:firstLineChars="1500"/>
        <w:rPr>
          <w:rFonts w:ascii="仿宋" w:hAnsi="仿宋" w:eastAsia="仿宋"/>
          <w:sz w:val="28"/>
          <w:szCs w:val="28"/>
        </w:rPr>
      </w:pPr>
      <w:r>
        <w:rPr>
          <w:rFonts w:hint="eastAsia" w:ascii="仿宋" w:hAnsi="仿宋" w:eastAsia="仿宋"/>
          <w:sz w:val="28"/>
          <w:szCs w:val="28"/>
        </w:rPr>
        <w:t>中国投资协会项目投融资专业委员会</w:t>
      </w:r>
    </w:p>
    <w:p>
      <w:pPr>
        <w:spacing w:line="480" w:lineRule="exac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二0二四年二月十八日</w:t>
      </w:r>
    </w:p>
    <w:p>
      <w:pPr>
        <w:pStyle w:val="7"/>
        <w:ind w:left="0" w:firstLine="0" w:firstLineChars="0"/>
        <w:rPr>
          <w:rFonts w:hAnsi="仿宋"/>
        </w:rPr>
      </w:pPr>
    </w:p>
    <w:p>
      <w:pPr>
        <w:pStyle w:val="7"/>
        <w:ind w:left="0" w:firstLine="0" w:firstLineChars="0"/>
        <w:rPr>
          <w:rFonts w:hAnsi="仿宋"/>
        </w:rPr>
      </w:pPr>
    </w:p>
    <w:p>
      <w:pPr>
        <w:pStyle w:val="7"/>
        <w:ind w:left="0" w:firstLine="0" w:firstLineChars="0"/>
        <w:rPr>
          <w:rFonts w:hAnsi="仿宋"/>
        </w:rPr>
      </w:pPr>
    </w:p>
    <w:p>
      <w:pPr>
        <w:pStyle w:val="7"/>
        <w:ind w:left="0" w:firstLine="0" w:firstLineChars="0"/>
        <w:rPr>
          <w:rFonts w:hAnsi="仿宋"/>
        </w:rPr>
      </w:pPr>
    </w:p>
    <w:p>
      <w:pPr>
        <w:pStyle w:val="7"/>
        <w:ind w:left="0" w:firstLine="0" w:firstLineChars="0"/>
        <w:rPr>
          <w:rFonts w:hAnsi="仿宋"/>
        </w:rPr>
      </w:pPr>
    </w:p>
    <w:p>
      <w:pPr>
        <w:pStyle w:val="7"/>
        <w:ind w:left="0" w:firstLine="0" w:firstLineChars="0"/>
        <w:rPr>
          <w:rFonts w:hAnsi="仿宋"/>
        </w:rPr>
      </w:pPr>
    </w:p>
    <w:p>
      <w:pPr>
        <w:widowControl/>
        <w:spacing w:line="440" w:lineRule="exact"/>
        <w:jc w:val="left"/>
        <w:rPr>
          <w:rFonts w:ascii="仿宋" w:hAnsi="仿宋" w:eastAsia="仿宋" w:cs="仿宋"/>
          <w:b/>
          <w:sz w:val="28"/>
          <w:szCs w:val="28"/>
        </w:rPr>
      </w:pPr>
      <w:r>
        <w:rPr>
          <w:rFonts w:hint="eastAsia" w:ascii="仿宋" w:hAnsi="仿宋" w:eastAsia="仿宋" w:cs="仿宋"/>
          <w:b/>
          <w:sz w:val="28"/>
          <w:szCs w:val="28"/>
        </w:rPr>
        <w:t>附件一：培训内容</w:t>
      </w:r>
    </w:p>
    <w:p>
      <w:pPr>
        <w:widowControl/>
        <w:spacing w:line="440" w:lineRule="exact"/>
        <w:ind w:firstLine="281" w:firstLineChars="100"/>
        <w:rPr>
          <w:rFonts w:ascii="仿宋" w:hAnsi="仿宋" w:eastAsia="仿宋"/>
          <w:b/>
          <w:bCs/>
          <w:sz w:val="28"/>
          <w:szCs w:val="28"/>
        </w:rPr>
      </w:pPr>
      <w:r>
        <w:rPr>
          <w:rFonts w:hint="eastAsia" w:ascii="仿宋" w:hAnsi="仿宋" w:eastAsia="仿宋"/>
          <w:b/>
          <w:bCs/>
          <w:sz w:val="28"/>
          <w:szCs w:val="28"/>
        </w:rPr>
        <w:t>第一部分：《23清标(征)》、《22总计规》、《19总管法》等最新法规政策深度解读</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23</w:t>
      </w:r>
      <w:r>
        <w:rPr>
          <w:rFonts w:hint="eastAsia" w:ascii="仿宋" w:hAnsi="仿宋" w:eastAsia="仿宋"/>
          <w:sz w:val="28"/>
          <w:szCs w:val="28"/>
        </w:rPr>
        <w:t>年11月</w:t>
      </w:r>
      <w:r>
        <w:rPr>
          <w:rFonts w:ascii="仿宋" w:hAnsi="仿宋" w:eastAsia="仿宋"/>
          <w:sz w:val="28"/>
          <w:szCs w:val="28"/>
        </w:rPr>
        <w:t>7</w:t>
      </w:r>
      <w:r>
        <w:rPr>
          <w:rFonts w:hint="eastAsia" w:ascii="仿宋" w:hAnsi="仿宋" w:eastAsia="仿宋"/>
          <w:sz w:val="28"/>
          <w:szCs w:val="28"/>
        </w:rPr>
        <w:t>日住建部办公厅发布最新</w:t>
      </w:r>
      <w:r>
        <w:rPr>
          <w:rFonts w:ascii="仿宋" w:hAnsi="仿宋" w:eastAsia="仿宋"/>
          <w:sz w:val="28"/>
          <w:szCs w:val="28"/>
        </w:rPr>
        <w:t>版</w:t>
      </w:r>
      <w:r>
        <w:rPr>
          <w:rFonts w:hint="eastAsia" w:ascii="仿宋" w:hAnsi="仿宋" w:eastAsia="仿宋"/>
          <w:sz w:val="28"/>
          <w:szCs w:val="28"/>
        </w:rPr>
        <w:t>《建设工程工程量清单计价标准》(征求</w:t>
      </w:r>
      <w:r>
        <w:rPr>
          <w:rFonts w:ascii="仿宋" w:hAnsi="仿宋" w:eastAsia="仿宋"/>
          <w:sz w:val="28"/>
          <w:szCs w:val="28"/>
        </w:rPr>
        <w:t>意见稿</w:t>
      </w:r>
      <w:r>
        <w:rPr>
          <w:rFonts w:hint="eastAsia" w:ascii="仿宋" w:hAnsi="仿宋" w:eastAsia="仿宋"/>
          <w:sz w:val="28"/>
          <w:szCs w:val="28"/>
        </w:rPr>
        <w:t>)</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2.中国建设工程造价管理协会《建设工程总承包计价规范》(T/CCEAS001-2022，中价协〔2022〕53号)；</w:t>
      </w:r>
    </w:p>
    <w:p>
      <w:pPr>
        <w:widowControl/>
        <w:spacing w:line="440" w:lineRule="exact"/>
        <w:ind w:firstLine="565" w:firstLineChars="202"/>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.住建部《建设工程工程量清单计价标准(征求</w:t>
      </w:r>
      <w:r>
        <w:rPr>
          <w:rFonts w:ascii="仿宋" w:hAnsi="仿宋" w:eastAsia="仿宋"/>
          <w:sz w:val="28"/>
          <w:szCs w:val="28"/>
        </w:rPr>
        <w:t>意见稿</w:t>
      </w:r>
      <w:r>
        <w:rPr>
          <w:rFonts w:hint="eastAsia" w:ascii="仿宋" w:hAnsi="仿宋" w:eastAsia="仿宋"/>
          <w:sz w:val="28"/>
          <w:szCs w:val="28"/>
        </w:rPr>
        <w:t>)》(建司局函标〔2021〕144号)；</w:t>
      </w:r>
    </w:p>
    <w:p>
      <w:pPr>
        <w:widowControl/>
        <w:spacing w:line="440" w:lineRule="exact"/>
        <w:ind w:firstLine="565" w:firstLineChars="202"/>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.财政部、住建部《关于完善建设工程价款结算有关办法的通知》(财建〔2022〕183号)；</w:t>
      </w:r>
    </w:p>
    <w:p>
      <w:pPr>
        <w:widowControl/>
        <w:spacing w:line="440" w:lineRule="exact"/>
        <w:ind w:firstLine="565" w:firstLineChars="202"/>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.财政部、应急部《企业安全生产费用提取和使用管理办法》(财资〔2022〕136号)；</w:t>
      </w:r>
    </w:p>
    <w:p>
      <w:pPr>
        <w:widowControl/>
        <w:spacing w:line="440" w:lineRule="exact"/>
        <w:ind w:firstLine="565" w:firstLineChars="202"/>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.住建部、司法部《建筑工程施工发包与承包计价管理办法（征求意见稿）》(立法意见征集：2023-09-11至2023-10-11)；</w:t>
      </w:r>
    </w:p>
    <w:p>
      <w:pPr>
        <w:widowControl/>
        <w:spacing w:line="440" w:lineRule="exact"/>
        <w:ind w:firstLine="565" w:firstLineChars="202"/>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.住建部《工程造价改革工作方案》(建办标〔2020〕38号)；</w:t>
      </w:r>
    </w:p>
    <w:p>
      <w:pPr>
        <w:widowControl/>
        <w:spacing w:line="440" w:lineRule="exact"/>
        <w:ind w:firstLine="565" w:firstLineChars="202"/>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.住建部、市场监管总局《建设项目工程总承包合同(示范文本)》(GF-2020-0216)；</w:t>
      </w:r>
    </w:p>
    <w:p>
      <w:pPr>
        <w:widowControl/>
        <w:spacing w:line="440" w:lineRule="exact"/>
        <w:ind w:firstLine="565" w:firstLineChars="202"/>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.住建部《房屋建筑和市政基础设施项目工程总承包管理办法》(建市规〔2019〕12号)；</w:t>
      </w:r>
    </w:p>
    <w:p>
      <w:pPr>
        <w:widowControl/>
        <w:spacing w:line="440" w:lineRule="exact"/>
        <w:ind w:firstLine="565" w:firstLineChars="202"/>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.发改委、住建部《关于推进全过程工程咨询服务发展的指导意见》(发改投资规〔2019〕515号)；</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r>
        <w:rPr>
          <w:rFonts w:hint="eastAsia" w:ascii="仿宋" w:hAnsi="仿宋" w:eastAsia="仿宋"/>
          <w:sz w:val="28"/>
          <w:szCs w:val="28"/>
        </w:rPr>
        <w:t>.中国建筑业协会《全过程工程咨询服务管理标准》(T/CCIAT0024— 2020)；</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2</w:t>
      </w:r>
      <w:r>
        <w:rPr>
          <w:rFonts w:hint="eastAsia" w:ascii="仿宋" w:hAnsi="仿宋" w:eastAsia="仿宋"/>
          <w:sz w:val="28"/>
          <w:szCs w:val="28"/>
        </w:rPr>
        <w:t>.国务院办公厅《关于促进建筑业持续健康发展的意见》(国办发〔2017〕19号)。</w:t>
      </w:r>
    </w:p>
    <w:p>
      <w:pPr>
        <w:tabs>
          <w:tab w:val="left" w:pos="567"/>
          <w:tab w:val="left" w:pos="709"/>
        </w:tabs>
        <w:spacing w:line="440" w:lineRule="exact"/>
        <w:textAlignment w:val="baseline"/>
        <w:outlineLvl w:val="0"/>
        <w:rPr>
          <w:rFonts w:ascii="仿宋" w:hAnsi="仿宋" w:eastAsia="仿宋"/>
          <w:b/>
          <w:bCs/>
          <w:sz w:val="28"/>
          <w:szCs w:val="28"/>
        </w:rPr>
      </w:pPr>
      <w:r>
        <w:rPr>
          <w:rFonts w:hint="eastAsia" w:ascii="仿宋" w:hAnsi="仿宋" w:eastAsia="仿宋"/>
          <w:b/>
          <w:bCs/>
          <w:sz w:val="28"/>
          <w:szCs w:val="28"/>
        </w:rPr>
        <w:t>第二部分：结合《23清标(征)》剖析工程造价管理与</w:t>
      </w:r>
      <w:r>
        <w:rPr>
          <w:rFonts w:ascii="仿宋" w:hAnsi="仿宋" w:eastAsia="仿宋"/>
          <w:b/>
          <w:bCs/>
          <w:sz w:val="28"/>
          <w:szCs w:val="28"/>
        </w:rPr>
        <w:t>审计</w:t>
      </w:r>
      <w:r>
        <w:rPr>
          <w:rFonts w:hint="eastAsia" w:ascii="仿宋" w:hAnsi="仿宋" w:eastAsia="仿宋"/>
          <w:b/>
          <w:bCs/>
          <w:sz w:val="28"/>
          <w:szCs w:val="28"/>
        </w:rPr>
        <w:t>实务重点及重难点问题针对性解决方案&amp;案例</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1.投资概算与承包价格的</w:t>
      </w:r>
      <w:r>
        <w:rPr>
          <w:rFonts w:ascii="仿宋" w:hAnsi="仿宋" w:eastAsia="仿宋"/>
          <w:sz w:val="28"/>
          <w:szCs w:val="28"/>
        </w:rPr>
        <w:t>费用结构对比分析</w:t>
      </w:r>
      <w:r>
        <w:rPr>
          <w:rFonts w:hint="eastAsia" w:ascii="仿宋" w:hAnsi="仿宋" w:eastAsia="仿宋"/>
          <w:sz w:val="28"/>
          <w:szCs w:val="28"/>
        </w:rPr>
        <w:t>；</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2.</w:t>
      </w:r>
      <w:r>
        <w:rPr>
          <w:rFonts w:hint="eastAsia" w:ascii="仿宋" w:hAnsi="仿宋" w:eastAsia="仿宋"/>
        </w:rPr>
        <w:t xml:space="preserve"> </w:t>
      </w:r>
      <w:r>
        <w:rPr>
          <w:rFonts w:hint="eastAsia" w:ascii="仿宋" w:hAnsi="仿宋" w:eastAsia="仿宋"/>
          <w:sz w:val="28"/>
          <w:szCs w:val="28"/>
        </w:rPr>
        <w:t>工程承包价格的</w:t>
      </w:r>
      <w:r>
        <w:rPr>
          <w:rFonts w:ascii="仿宋" w:hAnsi="仿宋" w:eastAsia="仿宋"/>
          <w:sz w:val="28"/>
          <w:szCs w:val="28"/>
        </w:rPr>
        <w:t>费用性质分析</w:t>
      </w:r>
      <w:r>
        <w:rPr>
          <w:rFonts w:hint="eastAsia" w:ascii="仿宋" w:hAnsi="仿宋" w:eastAsia="仿宋"/>
          <w:sz w:val="28"/>
          <w:szCs w:val="28"/>
        </w:rPr>
        <w:t>：按实核定与包干固定；</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3.最高投标限价编制与监管的改革政策；</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4.《2</w:t>
      </w:r>
      <w:r>
        <w:rPr>
          <w:rFonts w:ascii="仿宋" w:hAnsi="仿宋" w:eastAsia="仿宋"/>
          <w:sz w:val="28"/>
          <w:szCs w:val="28"/>
        </w:rPr>
        <w:t>3</w:t>
      </w:r>
      <w:r>
        <w:rPr>
          <w:rFonts w:hint="eastAsia" w:ascii="仿宋" w:hAnsi="仿宋" w:eastAsia="仿宋"/>
          <w:sz w:val="28"/>
          <w:szCs w:val="28"/>
        </w:rPr>
        <w:t>清标(征)》中关于合同形式的新规定及计价案例；</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5.措施项目清单缺漏项与包干计价分析；</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6.过程结算与过程支付的辨析与案例；</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7.人材机调价时单价差与消耗量确定；</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8.工程量增减与不平衡单价；</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9.材料单价不合理情形下变更置换计价；</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10.工程措施方案变更与优化的计价处理；</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11.工程签证类型与计价处理；</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12.材料设备认价性质界定与案例；</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13.暂估价项目及总承包服务费计价案例；</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14.营改增下工程计价与计税典型案例分析；</w:t>
      </w:r>
    </w:p>
    <w:p>
      <w:pPr>
        <w:widowControl/>
        <w:spacing w:line="440" w:lineRule="exact"/>
        <w:ind w:firstLine="565" w:firstLineChars="202"/>
        <w:rPr>
          <w:rFonts w:ascii="仿宋" w:hAnsi="仿宋" w:eastAsia="仿宋"/>
          <w:sz w:val="28"/>
          <w:szCs w:val="28"/>
        </w:rPr>
      </w:pPr>
      <w:r>
        <w:rPr>
          <w:rFonts w:hint="eastAsia" w:ascii="仿宋" w:hAnsi="仿宋" w:eastAsia="仿宋"/>
          <w:sz w:val="28"/>
          <w:szCs w:val="28"/>
        </w:rPr>
        <w:t>15.工程结算审计定性、</w:t>
      </w:r>
      <w:r>
        <w:rPr>
          <w:rFonts w:ascii="仿宋" w:hAnsi="仿宋" w:eastAsia="仿宋"/>
          <w:sz w:val="28"/>
          <w:szCs w:val="28"/>
        </w:rPr>
        <w:t>职业责任</w:t>
      </w:r>
      <w:r>
        <w:rPr>
          <w:rFonts w:hint="eastAsia" w:ascii="仿宋" w:hAnsi="仿宋" w:eastAsia="仿宋"/>
          <w:sz w:val="28"/>
          <w:szCs w:val="28"/>
        </w:rPr>
        <w:t>及案例。</w:t>
      </w:r>
    </w:p>
    <w:p>
      <w:pPr>
        <w:tabs>
          <w:tab w:val="left" w:pos="567"/>
          <w:tab w:val="left" w:pos="709"/>
        </w:tabs>
        <w:spacing w:line="440" w:lineRule="exact"/>
        <w:textAlignment w:val="baseline"/>
        <w:outlineLvl w:val="0"/>
        <w:rPr>
          <w:rFonts w:ascii="仿宋" w:hAnsi="仿宋" w:eastAsia="仿宋"/>
          <w:b/>
          <w:bCs/>
          <w:sz w:val="28"/>
          <w:szCs w:val="28"/>
        </w:rPr>
      </w:pPr>
      <w:r>
        <w:rPr>
          <w:rFonts w:hint="eastAsia" w:ascii="仿宋" w:hAnsi="仿宋" w:eastAsia="仿宋"/>
          <w:b/>
          <w:bCs/>
          <w:sz w:val="28"/>
          <w:szCs w:val="28"/>
        </w:rPr>
        <w:t>第三部分：结合《22总计规》剖析EPC投资控制、计价</w:t>
      </w:r>
      <w:r>
        <w:rPr>
          <w:rFonts w:ascii="仿宋" w:hAnsi="仿宋" w:eastAsia="仿宋"/>
          <w:b/>
          <w:bCs/>
          <w:sz w:val="28"/>
          <w:szCs w:val="28"/>
        </w:rPr>
        <w:t>与</w:t>
      </w:r>
      <w:r>
        <w:rPr>
          <w:rFonts w:hint="eastAsia" w:ascii="仿宋" w:hAnsi="仿宋" w:eastAsia="仿宋"/>
          <w:b/>
          <w:bCs/>
          <w:sz w:val="28"/>
          <w:szCs w:val="28"/>
        </w:rPr>
        <w:t>结算实务重点及症结破解&amp;案例</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1.EPC价格构成内容分析：哪些费用能进入EPC价格，哪些费用不能进入EPC价格？</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2.EPC工程费用性质分析：区分不同性质的费用在结算处理时所呈现的不同特征——按实核定与包干固定；</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3.EPC计价范围与计价机制：辨析EPC总价合同的不同形式，厘清国内EPC合同计价特点；</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4.EPC过程结算/过程支付：区分EPC过程结算与施工承包合同计量支付结算的本质不同；</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5.EPC计价风险与调整：EPC限额价格到底“限”的是什么价格? EPC竣工结算价格能否突破限额价格？</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6.EPC变更计价：厘清EPC变更计价责任，分析变更对EPC限额与施工图预算的影响，通过案例给出EPC变更计价的操作方法；</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7.EPC暂估价项目计价：暂估价计价方式的合规风险分析，暂估价材设的认价内涵与</w:t>
      </w:r>
      <w:r>
        <w:rPr>
          <w:rFonts w:ascii="仿宋" w:hAnsi="仿宋" w:eastAsia="仿宋"/>
          <w:sz w:val="28"/>
          <w:szCs w:val="28"/>
        </w:rPr>
        <w:t>方法</w:t>
      </w:r>
      <w:r>
        <w:rPr>
          <w:rFonts w:hint="eastAsia" w:ascii="仿宋" w:hAnsi="仿宋" w:eastAsia="仿宋"/>
          <w:sz w:val="28"/>
          <w:szCs w:val="28"/>
        </w:rPr>
        <w:t>；</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8.EPC计价机制的困境与突破：分析限额模式下EPC计价的内在矛盾，提出EPC招标计价创新方案；</w:t>
      </w:r>
    </w:p>
    <w:p>
      <w:pPr>
        <w:widowControl/>
        <w:spacing w:line="440" w:lineRule="exact"/>
        <w:ind w:firstLine="560" w:firstLineChars="200"/>
        <w:rPr>
          <w:rFonts w:ascii="仿宋" w:hAnsi="仿宋" w:eastAsia="仿宋"/>
          <w:sz w:val="28"/>
          <w:szCs w:val="28"/>
        </w:rPr>
      </w:pPr>
      <w:r>
        <w:rPr>
          <w:rFonts w:hint="eastAsia" w:ascii="仿宋" w:hAnsi="仿宋" w:eastAsia="仿宋"/>
          <w:sz w:val="28"/>
          <w:szCs w:val="28"/>
        </w:rPr>
        <w:t>9.EPC造价审计定性：国内EPC总价合同面临审计风险分析，澄清运用审计结果与开展审计监督的概念混淆。</w:t>
      </w:r>
    </w:p>
    <w:p>
      <w:pPr>
        <w:pStyle w:val="7"/>
        <w:spacing w:line="440" w:lineRule="exact"/>
        <w:ind w:left="13" w:leftChars="-10" w:hanging="34" w:hangingChars="12"/>
        <w:rPr>
          <w:rFonts w:hAnsi="仿宋"/>
          <w:b/>
          <w:bCs/>
          <w:sz w:val="28"/>
          <w:szCs w:val="28"/>
        </w:rPr>
      </w:pPr>
      <w:r>
        <w:rPr>
          <w:rFonts w:hint="eastAsia" w:hAnsi="仿宋"/>
          <w:b/>
          <w:bCs/>
          <w:sz w:val="28"/>
          <w:szCs w:val="28"/>
        </w:rPr>
        <w:t>第四部分：招标采购管理实务与案例</w:t>
      </w:r>
    </w:p>
    <w:p>
      <w:pPr>
        <w:pStyle w:val="7"/>
        <w:spacing w:line="440" w:lineRule="exact"/>
        <w:ind w:left="1129" w:leftChars="134" w:hanging="848" w:hangingChars="303"/>
        <w:rPr>
          <w:rFonts w:hAnsi="仿宋"/>
          <w:sz w:val="28"/>
          <w:szCs w:val="28"/>
        </w:rPr>
      </w:pPr>
      <w:r>
        <w:rPr>
          <w:rFonts w:hint="eastAsia" w:hAnsi="仿宋"/>
          <w:sz w:val="28"/>
          <w:szCs w:val="28"/>
        </w:rPr>
        <w:t>1．招标采购管理实务与法律风险防范</w:t>
      </w:r>
    </w:p>
    <w:p>
      <w:pPr>
        <w:pStyle w:val="7"/>
        <w:spacing w:line="440" w:lineRule="exact"/>
        <w:ind w:left="1129" w:leftChars="134" w:hanging="848" w:hangingChars="303"/>
        <w:rPr>
          <w:rFonts w:hAnsi="仿宋"/>
          <w:sz w:val="28"/>
          <w:szCs w:val="28"/>
        </w:rPr>
      </w:pPr>
      <w:r>
        <w:rPr>
          <w:rFonts w:hint="eastAsia" w:hAnsi="仿宋"/>
          <w:sz w:val="28"/>
          <w:szCs w:val="28"/>
        </w:rPr>
        <w:t>（1）建设工程招标投标概述；</w:t>
      </w:r>
    </w:p>
    <w:p>
      <w:pPr>
        <w:pStyle w:val="7"/>
        <w:spacing w:line="440" w:lineRule="exact"/>
        <w:ind w:left="1129" w:leftChars="134" w:hanging="848" w:hangingChars="303"/>
        <w:rPr>
          <w:rFonts w:hAnsi="仿宋"/>
          <w:sz w:val="28"/>
          <w:szCs w:val="28"/>
        </w:rPr>
      </w:pPr>
      <w:r>
        <w:rPr>
          <w:rFonts w:hint="eastAsia" w:hAnsi="仿宋"/>
          <w:sz w:val="28"/>
          <w:szCs w:val="28"/>
        </w:rPr>
        <w:t>（2）国有企业招标采购合规管理；</w:t>
      </w:r>
    </w:p>
    <w:p>
      <w:pPr>
        <w:pStyle w:val="7"/>
        <w:spacing w:line="440" w:lineRule="exact"/>
        <w:ind w:left="1129" w:leftChars="134" w:hanging="848" w:hangingChars="303"/>
        <w:rPr>
          <w:rFonts w:hAnsi="仿宋"/>
          <w:sz w:val="28"/>
          <w:szCs w:val="28"/>
        </w:rPr>
      </w:pPr>
      <w:r>
        <w:rPr>
          <w:rFonts w:hint="eastAsia" w:hAnsi="仿宋"/>
          <w:sz w:val="28"/>
          <w:szCs w:val="28"/>
        </w:rPr>
        <w:t>（3）《民法典》合同编司法解释、《刑法修正案》（十二）对招标采购的影响；</w:t>
      </w:r>
    </w:p>
    <w:p>
      <w:pPr>
        <w:pStyle w:val="7"/>
        <w:spacing w:line="440" w:lineRule="exact"/>
        <w:ind w:left="1129" w:leftChars="134" w:hanging="848" w:hangingChars="303"/>
        <w:rPr>
          <w:rFonts w:hAnsi="仿宋"/>
          <w:sz w:val="28"/>
          <w:szCs w:val="28"/>
        </w:rPr>
      </w:pPr>
      <w:r>
        <w:rPr>
          <w:rFonts w:hint="eastAsia" w:hAnsi="仿宋"/>
          <w:sz w:val="28"/>
          <w:szCs w:val="28"/>
        </w:rPr>
        <w:t>（4）招标采购最新政策法规及法律修订展望。</w:t>
      </w:r>
    </w:p>
    <w:p>
      <w:pPr>
        <w:pStyle w:val="7"/>
        <w:spacing w:line="440" w:lineRule="exact"/>
        <w:ind w:left="1129" w:leftChars="134" w:hanging="848" w:hangingChars="303"/>
        <w:rPr>
          <w:rFonts w:hAnsi="仿宋"/>
          <w:sz w:val="28"/>
          <w:szCs w:val="28"/>
        </w:rPr>
      </w:pPr>
      <w:r>
        <w:rPr>
          <w:rFonts w:hint="eastAsia" w:hAnsi="仿宋"/>
          <w:sz w:val="28"/>
          <w:szCs w:val="28"/>
        </w:rPr>
        <w:t>2.招标方式实务</w:t>
      </w:r>
    </w:p>
    <w:p>
      <w:pPr>
        <w:pStyle w:val="7"/>
        <w:spacing w:line="440" w:lineRule="exact"/>
        <w:ind w:left="1129" w:leftChars="134" w:hanging="848" w:hangingChars="303"/>
        <w:rPr>
          <w:rFonts w:hAnsi="仿宋"/>
          <w:sz w:val="28"/>
          <w:szCs w:val="28"/>
        </w:rPr>
      </w:pPr>
      <w:r>
        <w:rPr>
          <w:rFonts w:hint="eastAsia" w:hAnsi="仿宋"/>
          <w:sz w:val="28"/>
          <w:szCs w:val="28"/>
        </w:rPr>
        <w:t>（1）招标投标制度概述</w:t>
      </w:r>
    </w:p>
    <w:p>
      <w:pPr>
        <w:pStyle w:val="7"/>
        <w:spacing w:line="440" w:lineRule="exact"/>
        <w:ind w:left="1127" w:leftChars="405" w:hanging="277" w:hangingChars="99"/>
        <w:rPr>
          <w:rFonts w:hAnsi="仿宋"/>
          <w:sz w:val="28"/>
          <w:szCs w:val="28"/>
        </w:rPr>
      </w:pPr>
      <w:r>
        <w:rPr>
          <w:rFonts w:hint="eastAsia" w:hAnsi="仿宋"/>
          <w:sz w:val="28"/>
          <w:szCs w:val="28"/>
        </w:rPr>
        <w:t>①.招标投标法律规范</w:t>
      </w:r>
    </w:p>
    <w:p>
      <w:pPr>
        <w:pStyle w:val="7"/>
        <w:spacing w:line="440" w:lineRule="exact"/>
        <w:ind w:left="1127" w:leftChars="405" w:hanging="277" w:hangingChars="99"/>
        <w:rPr>
          <w:rFonts w:hAnsi="仿宋"/>
          <w:sz w:val="28"/>
          <w:szCs w:val="28"/>
        </w:rPr>
      </w:pPr>
      <w:r>
        <w:rPr>
          <w:rFonts w:hint="eastAsia" w:hAnsi="仿宋"/>
          <w:sz w:val="28"/>
          <w:szCs w:val="28"/>
        </w:rPr>
        <w:t>②.强制招标制度</w:t>
      </w:r>
    </w:p>
    <w:p>
      <w:pPr>
        <w:pStyle w:val="7"/>
        <w:spacing w:line="440" w:lineRule="exact"/>
        <w:ind w:left="1129" w:leftChars="134" w:hanging="848" w:hangingChars="303"/>
        <w:rPr>
          <w:rFonts w:hAnsi="仿宋"/>
          <w:sz w:val="28"/>
          <w:szCs w:val="28"/>
        </w:rPr>
      </w:pPr>
      <w:r>
        <w:rPr>
          <w:rFonts w:hint="eastAsia" w:hAnsi="仿宋"/>
          <w:sz w:val="28"/>
          <w:szCs w:val="28"/>
        </w:rPr>
        <w:t>③.国有企业采购操作规范（T/CFLP 0016—2023）</w:t>
      </w:r>
    </w:p>
    <w:p>
      <w:pPr>
        <w:pStyle w:val="7"/>
        <w:spacing w:line="440" w:lineRule="exact"/>
        <w:ind w:left="1129" w:leftChars="134" w:hanging="848" w:hangingChars="303"/>
        <w:rPr>
          <w:rFonts w:hAnsi="仿宋"/>
          <w:sz w:val="28"/>
          <w:szCs w:val="28"/>
        </w:rPr>
      </w:pPr>
      <w:r>
        <w:rPr>
          <w:rFonts w:hint="eastAsia" w:hAnsi="仿宋"/>
          <w:sz w:val="28"/>
          <w:szCs w:val="28"/>
        </w:rPr>
        <w:t>（2）招标采购准备</w:t>
      </w:r>
    </w:p>
    <w:p>
      <w:pPr>
        <w:pStyle w:val="7"/>
        <w:spacing w:line="440" w:lineRule="exact"/>
        <w:ind w:left="1127" w:leftChars="405" w:hanging="277" w:hangingChars="99"/>
        <w:rPr>
          <w:rFonts w:hAnsi="仿宋"/>
          <w:sz w:val="28"/>
          <w:szCs w:val="28"/>
        </w:rPr>
      </w:pPr>
      <w:r>
        <w:rPr>
          <w:rFonts w:hint="eastAsia" w:hAnsi="仿宋"/>
          <w:sz w:val="28"/>
          <w:szCs w:val="28"/>
        </w:rPr>
        <w:t>①.采购需求管理</w:t>
      </w:r>
    </w:p>
    <w:p>
      <w:pPr>
        <w:pStyle w:val="7"/>
        <w:spacing w:line="440" w:lineRule="exact"/>
        <w:ind w:left="1127" w:leftChars="405" w:hanging="277" w:hangingChars="99"/>
        <w:rPr>
          <w:rFonts w:hAnsi="仿宋"/>
          <w:sz w:val="28"/>
          <w:szCs w:val="28"/>
        </w:rPr>
      </w:pPr>
      <w:r>
        <w:rPr>
          <w:rFonts w:hint="eastAsia" w:hAnsi="仿宋"/>
          <w:sz w:val="28"/>
          <w:szCs w:val="28"/>
        </w:rPr>
        <w:t>②.采购需求与采购人合理的“倾向性”</w:t>
      </w:r>
    </w:p>
    <w:p>
      <w:pPr>
        <w:pStyle w:val="7"/>
        <w:spacing w:line="440" w:lineRule="exact"/>
        <w:ind w:left="1129" w:leftChars="134" w:hanging="848" w:hangingChars="303"/>
        <w:rPr>
          <w:rFonts w:hAnsi="仿宋"/>
          <w:sz w:val="28"/>
          <w:szCs w:val="28"/>
        </w:rPr>
      </w:pPr>
      <w:r>
        <w:rPr>
          <w:rFonts w:hint="eastAsia" w:hAnsi="仿宋"/>
          <w:sz w:val="28"/>
          <w:szCs w:val="28"/>
        </w:rPr>
        <w:t>（3）采购组织模式</w:t>
      </w:r>
    </w:p>
    <w:p>
      <w:pPr>
        <w:pStyle w:val="7"/>
        <w:spacing w:line="440" w:lineRule="exact"/>
        <w:ind w:left="1127" w:leftChars="405" w:hanging="277" w:hangingChars="99"/>
        <w:rPr>
          <w:rFonts w:hAnsi="仿宋"/>
          <w:sz w:val="28"/>
          <w:szCs w:val="28"/>
        </w:rPr>
      </w:pPr>
      <w:r>
        <w:rPr>
          <w:rFonts w:hint="eastAsia" w:hAnsi="仿宋"/>
          <w:sz w:val="28"/>
          <w:szCs w:val="28"/>
        </w:rPr>
        <w:t>①.集中采购与分散采购</w:t>
      </w:r>
    </w:p>
    <w:p>
      <w:pPr>
        <w:pStyle w:val="7"/>
        <w:spacing w:line="440" w:lineRule="exact"/>
        <w:ind w:left="1127" w:leftChars="405" w:hanging="277" w:hangingChars="99"/>
        <w:rPr>
          <w:rFonts w:hAnsi="仿宋"/>
          <w:sz w:val="28"/>
          <w:szCs w:val="28"/>
        </w:rPr>
      </w:pPr>
      <w:r>
        <w:rPr>
          <w:rFonts w:hint="eastAsia" w:hAnsi="仿宋"/>
          <w:sz w:val="28"/>
          <w:szCs w:val="28"/>
        </w:rPr>
        <w:t>②.框架协议程序与一般采购程序</w:t>
      </w:r>
    </w:p>
    <w:p>
      <w:pPr>
        <w:pStyle w:val="7"/>
        <w:spacing w:line="440" w:lineRule="exact"/>
        <w:ind w:left="1129" w:leftChars="134" w:hanging="848" w:hangingChars="303"/>
        <w:rPr>
          <w:rFonts w:hAnsi="仿宋"/>
          <w:sz w:val="28"/>
          <w:szCs w:val="28"/>
        </w:rPr>
      </w:pPr>
      <w:r>
        <w:rPr>
          <w:rFonts w:hint="eastAsia" w:hAnsi="仿宋"/>
          <w:sz w:val="28"/>
          <w:szCs w:val="28"/>
        </w:rPr>
        <w:t>（4）招标</w:t>
      </w:r>
    </w:p>
    <w:p>
      <w:pPr>
        <w:pStyle w:val="7"/>
        <w:spacing w:line="440" w:lineRule="exact"/>
        <w:ind w:left="1127" w:leftChars="405" w:hanging="277" w:hangingChars="99"/>
        <w:rPr>
          <w:rFonts w:hAnsi="仿宋"/>
          <w:sz w:val="28"/>
          <w:szCs w:val="28"/>
        </w:rPr>
      </w:pPr>
      <w:r>
        <w:rPr>
          <w:rFonts w:hint="eastAsia" w:hAnsi="仿宋"/>
          <w:sz w:val="28"/>
          <w:szCs w:val="28"/>
        </w:rPr>
        <w:t>①.招标文件的编写</w:t>
      </w:r>
    </w:p>
    <w:p>
      <w:pPr>
        <w:pStyle w:val="7"/>
        <w:spacing w:line="440" w:lineRule="exact"/>
        <w:ind w:left="1127" w:leftChars="405" w:hanging="277" w:hangingChars="99"/>
        <w:rPr>
          <w:rFonts w:hAnsi="仿宋"/>
          <w:sz w:val="28"/>
          <w:szCs w:val="28"/>
        </w:rPr>
      </w:pPr>
      <w:r>
        <w:rPr>
          <w:rFonts w:hint="eastAsia" w:hAnsi="仿宋"/>
          <w:sz w:val="28"/>
          <w:szCs w:val="28"/>
        </w:rPr>
        <w:t>②.以不合理的条件限制或者排斥潜在投标人的判定</w:t>
      </w:r>
    </w:p>
    <w:p>
      <w:pPr>
        <w:pStyle w:val="7"/>
        <w:spacing w:line="440" w:lineRule="exact"/>
        <w:ind w:left="1127" w:leftChars="405" w:hanging="277" w:hangingChars="99"/>
        <w:rPr>
          <w:rFonts w:hAnsi="仿宋"/>
          <w:sz w:val="28"/>
          <w:szCs w:val="28"/>
        </w:rPr>
      </w:pPr>
      <w:r>
        <w:rPr>
          <w:rFonts w:hint="eastAsia" w:hAnsi="仿宋"/>
          <w:sz w:val="28"/>
          <w:szCs w:val="28"/>
        </w:rPr>
        <w:t>③.“资格、技术、商务条件与招标项目的具体特点和实际需要相适应或者与合同履行相关性”的标准</w:t>
      </w:r>
    </w:p>
    <w:p>
      <w:pPr>
        <w:pStyle w:val="7"/>
        <w:spacing w:line="440" w:lineRule="exact"/>
        <w:ind w:left="1127" w:leftChars="405" w:hanging="277" w:hangingChars="99"/>
        <w:rPr>
          <w:rFonts w:hAnsi="仿宋"/>
          <w:sz w:val="28"/>
          <w:szCs w:val="28"/>
        </w:rPr>
      </w:pPr>
      <w:r>
        <w:rPr>
          <w:rFonts w:hint="eastAsia" w:hAnsi="仿宋"/>
          <w:sz w:val="28"/>
          <w:szCs w:val="28"/>
        </w:rPr>
        <w:t>④.资格预审</w:t>
      </w:r>
    </w:p>
    <w:p>
      <w:pPr>
        <w:pStyle w:val="7"/>
        <w:spacing w:line="440" w:lineRule="exact"/>
        <w:ind w:left="1127" w:leftChars="405" w:hanging="277" w:hangingChars="99"/>
        <w:rPr>
          <w:rFonts w:hAnsi="仿宋"/>
          <w:sz w:val="28"/>
          <w:szCs w:val="28"/>
        </w:rPr>
      </w:pPr>
      <w:r>
        <w:rPr>
          <w:rFonts w:hint="eastAsia" w:hAnsi="仿宋"/>
          <w:sz w:val="28"/>
          <w:szCs w:val="28"/>
        </w:rPr>
        <w:t>⑤.招标文件的澄清和修改</w:t>
      </w:r>
    </w:p>
    <w:p>
      <w:pPr>
        <w:pStyle w:val="7"/>
        <w:spacing w:line="440" w:lineRule="exact"/>
        <w:ind w:left="1127" w:leftChars="405" w:hanging="277" w:hangingChars="99"/>
        <w:rPr>
          <w:rFonts w:hAnsi="仿宋"/>
          <w:sz w:val="28"/>
          <w:szCs w:val="28"/>
        </w:rPr>
      </w:pPr>
      <w:r>
        <w:rPr>
          <w:rFonts w:hint="eastAsia" w:hAnsi="仿宋"/>
          <w:sz w:val="28"/>
          <w:szCs w:val="28"/>
        </w:rPr>
        <w:t>⑥.踏勘现场与招标答疑</w:t>
      </w:r>
    </w:p>
    <w:p>
      <w:pPr>
        <w:pStyle w:val="7"/>
        <w:spacing w:line="440" w:lineRule="exact"/>
        <w:ind w:left="1129" w:leftChars="134" w:hanging="848" w:hangingChars="303"/>
        <w:rPr>
          <w:rFonts w:hAnsi="仿宋"/>
          <w:sz w:val="28"/>
          <w:szCs w:val="28"/>
        </w:rPr>
      </w:pPr>
      <w:r>
        <w:rPr>
          <w:rFonts w:hint="eastAsia" w:hAnsi="仿宋"/>
          <w:sz w:val="28"/>
          <w:szCs w:val="28"/>
        </w:rPr>
        <w:t>（5）投标</w:t>
      </w:r>
    </w:p>
    <w:p>
      <w:pPr>
        <w:pStyle w:val="7"/>
        <w:spacing w:line="440" w:lineRule="exact"/>
        <w:ind w:left="1127" w:leftChars="405" w:hanging="277" w:hangingChars="99"/>
        <w:rPr>
          <w:rFonts w:hAnsi="仿宋"/>
          <w:sz w:val="28"/>
          <w:szCs w:val="28"/>
        </w:rPr>
      </w:pPr>
      <w:r>
        <w:rPr>
          <w:rFonts w:hint="eastAsia" w:hAnsi="仿宋"/>
          <w:sz w:val="28"/>
          <w:szCs w:val="28"/>
        </w:rPr>
        <w:t>①.投标人与投标资格</w:t>
      </w:r>
    </w:p>
    <w:p>
      <w:pPr>
        <w:pStyle w:val="7"/>
        <w:spacing w:line="440" w:lineRule="exact"/>
        <w:ind w:left="1127" w:leftChars="405" w:hanging="277" w:hangingChars="99"/>
        <w:rPr>
          <w:rFonts w:hAnsi="仿宋"/>
          <w:sz w:val="28"/>
          <w:szCs w:val="28"/>
        </w:rPr>
      </w:pPr>
      <w:r>
        <w:rPr>
          <w:rFonts w:hint="eastAsia" w:hAnsi="仿宋"/>
          <w:sz w:val="28"/>
          <w:szCs w:val="28"/>
        </w:rPr>
        <w:t>②.投标文件</w:t>
      </w:r>
    </w:p>
    <w:p>
      <w:pPr>
        <w:pStyle w:val="7"/>
        <w:spacing w:line="440" w:lineRule="exact"/>
        <w:ind w:left="1129" w:leftChars="134" w:hanging="848" w:hangingChars="303"/>
        <w:rPr>
          <w:rFonts w:hAnsi="仿宋"/>
          <w:sz w:val="28"/>
          <w:szCs w:val="28"/>
        </w:rPr>
      </w:pPr>
      <w:r>
        <w:rPr>
          <w:rFonts w:hint="eastAsia" w:hAnsi="仿宋"/>
          <w:sz w:val="28"/>
          <w:szCs w:val="28"/>
        </w:rPr>
        <w:t>（6）开标、评标与定标</w:t>
      </w:r>
    </w:p>
    <w:p>
      <w:pPr>
        <w:pStyle w:val="7"/>
        <w:spacing w:line="440" w:lineRule="exact"/>
        <w:ind w:left="1127" w:leftChars="405" w:hanging="277" w:hangingChars="99"/>
        <w:rPr>
          <w:rFonts w:hAnsi="仿宋"/>
          <w:sz w:val="28"/>
          <w:szCs w:val="28"/>
        </w:rPr>
      </w:pPr>
      <w:r>
        <w:rPr>
          <w:rFonts w:hint="eastAsia" w:hAnsi="仿宋"/>
          <w:sz w:val="28"/>
          <w:szCs w:val="28"/>
        </w:rPr>
        <w:t>①.开标与开标异议</w:t>
      </w:r>
    </w:p>
    <w:p>
      <w:pPr>
        <w:pStyle w:val="7"/>
        <w:spacing w:line="440" w:lineRule="exact"/>
        <w:ind w:left="1127" w:leftChars="405" w:hanging="277" w:hangingChars="99"/>
        <w:rPr>
          <w:rFonts w:hAnsi="仿宋"/>
          <w:sz w:val="28"/>
          <w:szCs w:val="28"/>
        </w:rPr>
      </w:pPr>
      <w:r>
        <w:rPr>
          <w:rFonts w:hint="eastAsia" w:hAnsi="仿宋"/>
          <w:sz w:val="28"/>
          <w:szCs w:val="28"/>
        </w:rPr>
        <w:t>②.评标委员会</w:t>
      </w:r>
    </w:p>
    <w:p>
      <w:pPr>
        <w:pStyle w:val="7"/>
        <w:spacing w:line="440" w:lineRule="exact"/>
        <w:ind w:left="1127" w:leftChars="405" w:hanging="277" w:hangingChars="99"/>
        <w:rPr>
          <w:rFonts w:hAnsi="仿宋"/>
          <w:sz w:val="28"/>
          <w:szCs w:val="28"/>
        </w:rPr>
      </w:pPr>
      <w:r>
        <w:rPr>
          <w:rFonts w:hint="eastAsia" w:hAnsi="仿宋"/>
          <w:sz w:val="28"/>
          <w:szCs w:val="28"/>
        </w:rPr>
        <w:t>③.资格审查</w:t>
      </w:r>
    </w:p>
    <w:p>
      <w:pPr>
        <w:pStyle w:val="7"/>
        <w:spacing w:line="440" w:lineRule="exact"/>
        <w:ind w:left="1127" w:leftChars="405" w:hanging="277" w:hangingChars="99"/>
        <w:rPr>
          <w:rFonts w:hAnsi="仿宋"/>
          <w:sz w:val="28"/>
          <w:szCs w:val="28"/>
        </w:rPr>
      </w:pPr>
      <w:r>
        <w:rPr>
          <w:rFonts w:hint="eastAsia" w:hAnsi="仿宋"/>
          <w:sz w:val="28"/>
          <w:szCs w:val="28"/>
        </w:rPr>
        <w:t>④.符合性审查</w:t>
      </w:r>
    </w:p>
    <w:p>
      <w:pPr>
        <w:pStyle w:val="7"/>
        <w:spacing w:line="440" w:lineRule="exact"/>
        <w:ind w:left="1127" w:leftChars="405" w:hanging="277" w:hangingChars="99"/>
        <w:rPr>
          <w:rFonts w:hAnsi="仿宋"/>
          <w:sz w:val="28"/>
          <w:szCs w:val="28"/>
        </w:rPr>
      </w:pPr>
      <w:r>
        <w:rPr>
          <w:rFonts w:hint="eastAsia" w:hAnsi="仿宋"/>
          <w:sz w:val="28"/>
          <w:szCs w:val="28"/>
        </w:rPr>
        <w:t>⑤.澄清、说明与补正程序</w:t>
      </w:r>
    </w:p>
    <w:p>
      <w:pPr>
        <w:pStyle w:val="7"/>
        <w:spacing w:line="440" w:lineRule="exact"/>
        <w:ind w:left="1127" w:leftChars="405" w:hanging="277" w:hangingChars="99"/>
        <w:rPr>
          <w:rFonts w:hAnsi="仿宋"/>
          <w:sz w:val="28"/>
          <w:szCs w:val="28"/>
        </w:rPr>
      </w:pPr>
      <w:r>
        <w:rPr>
          <w:rFonts w:hint="eastAsia" w:hAnsi="仿宋"/>
          <w:sz w:val="28"/>
          <w:szCs w:val="28"/>
        </w:rPr>
        <w:t>⑥.异常低价审查规则</w:t>
      </w:r>
    </w:p>
    <w:p>
      <w:pPr>
        <w:pStyle w:val="7"/>
        <w:spacing w:line="440" w:lineRule="exact"/>
        <w:ind w:left="1127" w:leftChars="405" w:hanging="277" w:hangingChars="99"/>
        <w:rPr>
          <w:rFonts w:hAnsi="仿宋"/>
          <w:sz w:val="28"/>
          <w:szCs w:val="28"/>
        </w:rPr>
      </w:pPr>
      <w:r>
        <w:rPr>
          <w:rFonts w:hint="eastAsia" w:hAnsi="仿宋"/>
          <w:sz w:val="28"/>
          <w:szCs w:val="28"/>
        </w:rPr>
        <w:t>⑦.否决投标（投标无效）的法定情形和约定情形</w:t>
      </w:r>
    </w:p>
    <w:p>
      <w:pPr>
        <w:pStyle w:val="7"/>
        <w:spacing w:line="440" w:lineRule="exact"/>
        <w:ind w:left="1127" w:leftChars="405" w:hanging="277" w:hangingChars="99"/>
        <w:rPr>
          <w:rFonts w:hAnsi="仿宋"/>
          <w:sz w:val="28"/>
          <w:szCs w:val="28"/>
        </w:rPr>
      </w:pPr>
      <w:r>
        <w:rPr>
          <w:rFonts w:hint="eastAsia" w:hAnsi="仿宋"/>
          <w:sz w:val="28"/>
          <w:szCs w:val="28"/>
        </w:rPr>
        <w:t>⑧.否决全部投标的规则</w:t>
      </w:r>
    </w:p>
    <w:p>
      <w:pPr>
        <w:pStyle w:val="7"/>
        <w:spacing w:line="440" w:lineRule="exact"/>
        <w:ind w:left="1127" w:leftChars="405" w:hanging="277" w:hangingChars="99"/>
        <w:rPr>
          <w:rFonts w:hAnsi="仿宋"/>
          <w:sz w:val="28"/>
          <w:szCs w:val="28"/>
        </w:rPr>
      </w:pPr>
      <w:r>
        <w:rPr>
          <w:rFonts w:hint="eastAsia" w:hAnsi="仿宋"/>
          <w:sz w:val="28"/>
          <w:szCs w:val="28"/>
        </w:rPr>
        <w:t>⑨.评审争议解决</w:t>
      </w:r>
    </w:p>
    <w:p>
      <w:pPr>
        <w:pStyle w:val="7"/>
        <w:spacing w:line="440" w:lineRule="exact"/>
        <w:ind w:left="1127" w:leftChars="405" w:hanging="277" w:hangingChars="99"/>
        <w:rPr>
          <w:rFonts w:hAnsi="仿宋"/>
          <w:sz w:val="28"/>
          <w:szCs w:val="28"/>
        </w:rPr>
      </w:pPr>
      <w:r>
        <w:rPr>
          <w:rFonts w:hint="eastAsia" w:hAnsi="仿宋"/>
          <w:sz w:val="28"/>
          <w:szCs w:val="28"/>
        </w:rPr>
        <w:t>⑩.评标报告与中标候选人</w:t>
      </w:r>
    </w:p>
    <w:p>
      <w:pPr>
        <w:pStyle w:val="7"/>
        <w:spacing w:line="440" w:lineRule="exact"/>
        <w:ind w:left="1129" w:leftChars="134" w:hanging="848" w:hangingChars="303"/>
        <w:rPr>
          <w:rFonts w:hAnsi="仿宋"/>
          <w:sz w:val="28"/>
          <w:szCs w:val="28"/>
        </w:rPr>
      </w:pPr>
      <w:r>
        <w:rPr>
          <w:rFonts w:hint="eastAsia" w:hAnsi="仿宋"/>
          <w:sz w:val="28"/>
          <w:szCs w:val="28"/>
        </w:rPr>
        <w:t>（7）中标与合同</w:t>
      </w:r>
    </w:p>
    <w:p>
      <w:pPr>
        <w:pStyle w:val="7"/>
        <w:spacing w:line="440" w:lineRule="exact"/>
        <w:ind w:left="1127" w:leftChars="405" w:hanging="277" w:hangingChars="99"/>
        <w:rPr>
          <w:rFonts w:hAnsi="仿宋"/>
          <w:sz w:val="28"/>
          <w:szCs w:val="28"/>
        </w:rPr>
      </w:pPr>
      <w:r>
        <w:rPr>
          <w:rFonts w:hint="eastAsia" w:hAnsi="仿宋"/>
          <w:sz w:val="28"/>
          <w:szCs w:val="28"/>
        </w:rPr>
        <w:t>①.中标通知书</w:t>
      </w:r>
    </w:p>
    <w:p>
      <w:pPr>
        <w:pStyle w:val="7"/>
        <w:spacing w:line="440" w:lineRule="exact"/>
        <w:ind w:left="1127" w:leftChars="405" w:hanging="277" w:hangingChars="99"/>
        <w:rPr>
          <w:rFonts w:hAnsi="仿宋"/>
          <w:sz w:val="28"/>
          <w:szCs w:val="28"/>
        </w:rPr>
      </w:pPr>
      <w:r>
        <w:rPr>
          <w:rFonts w:hint="eastAsia" w:hAnsi="仿宋"/>
          <w:sz w:val="28"/>
          <w:szCs w:val="28"/>
        </w:rPr>
        <w:t>②.履约能力审查</w:t>
      </w:r>
    </w:p>
    <w:p>
      <w:pPr>
        <w:pStyle w:val="7"/>
        <w:spacing w:line="440" w:lineRule="exact"/>
        <w:ind w:left="1127" w:leftChars="405" w:hanging="277" w:hangingChars="99"/>
        <w:rPr>
          <w:rFonts w:hAnsi="仿宋"/>
          <w:sz w:val="28"/>
          <w:szCs w:val="28"/>
        </w:rPr>
      </w:pPr>
      <w:r>
        <w:rPr>
          <w:rFonts w:hint="eastAsia" w:hAnsi="仿宋"/>
          <w:sz w:val="28"/>
          <w:szCs w:val="28"/>
        </w:rPr>
        <w:t>③.招标合同的签订</w:t>
      </w:r>
    </w:p>
    <w:p>
      <w:pPr>
        <w:pStyle w:val="7"/>
        <w:spacing w:line="440" w:lineRule="exact"/>
        <w:ind w:left="1127" w:leftChars="405" w:hanging="277" w:hangingChars="99"/>
        <w:rPr>
          <w:rFonts w:hAnsi="仿宋"/>
          <w:sz w:val="28"/>
          <w:szCs w:val="28"/>
        </w:rPr>
      </w:pPr>
      <w:r>
        <w:rPr>
          <w:rFonts w:hint="eastAsia" w:hAnsi="仿宋"/>
          <w:sz w:val="28"/>
          <w:szCs w:val="28"/>
        </w:rPr>
        <w:t>④.合同分包与转包</w:t>
      </w:r>
    </w:p>
    <w:p>
      <w:pPr>
        <w:pStyle w:val="7"/>
        <w:spacing w:line="440" w:lineRule="exact"/>
        <w:ind w:left="1129" w:leftChars="134" w:hanging="848" w:hangingChars="303"/>
        <w:rPr>
          <w:rFonts w:hAnsi="仿宋"/>
          <w:sz w:val="28"/>
          <w:szCs w:val="28"/>
        </w:rPr>
      </w:pPr>
      <w:r>
        <w:rPr>
          <w:rFonts w:hint="eastAsia" w:hAnsi="仿宋"/>
          <w:sz w:val="28"/>
          <w:szCs w:val="28"/>
        </w:rPr>
        <w:t>3．非招标采购方式实务</w:t>
      </w:r>
    </w:p>
    <w:p>
      <w:pPr>
        <w:pStyle w:val="7"/>
        <w:spacing w:line="440" w:lineRule="exact"/>
        <w:ind w:left="1129" w:leftChars="134" w:hanging="848" w:hangingChars="303"/>
        <w:rPr>
          <w:rFonts w:hAnsi="仿宋"/>
          <w:sz w:val="28"/>
          <w:szCs w:val="28"/>
        </w:rPr>
      </w:pPr>
      <w:r>
        <w:rPr>
          <w:rFonts w:hint="eastAsia" w:hAnsi="仿宋"/>
          <w:sz w:val="28"/>
          <w:szCs w:val="28"/>
        </w:rPr>
        <w:t>（1）政府采购中的非招标采购方式</w:t>
      </w:r>
    </w:p>
    <w:p>
      <w:pPr>
        <w:pStyle w:val="7"/>
        <w:spacing w:line="440" w:lineRule="exact"/>
        <w:ind w:left="1129" w:leftChars="134" w:hanging="848" w:hangingChars="303"/>
        <w:rPr>
          <w:rFonts w:hAnsi="仿宋"/>
          <w:sz w:val="28"/>
          <w:szCs w:val="28"/>
        </w:rPr>
      </w:pPr>
      <w:r>
        <w:rPr>
          <w:rFonts w:hint="eastAsia" w:hAnsi="仿宋"/>
          <w:sz w:val="28"/>
          <w:szCs w:val="28"/>
        </w:rPr>
        <w:t>非招标采购方式种类、适用条件、采购程序</w:t>
      </w:r>
    </w:p>
    <w:p>
      <w:pPr>
        <w:pStyle w:val="7"/>
        <w:spacing w:line="440" w:lineRule="exact"/>
        <w:ind w:left="1129" w:leftChars="134" w:hanging="848" w:hangingChars="303"/>
        <w:rPr>
          <w:rFonts w:hAnsi="仿宋"/>
          <w:sz w:val="28"/>
          <w:szCs w:val="28"/>
        </w:rPr>
      </w:pPr>
      <w:r>
        <w:rPr>
          <w:rFonts w:hint="eastAsia" w:hAnsi="仿宋"/>
          <w:sz w:val="28"/>
          <w:szCs w:val="28"/>
        </w:rPr>
        <w:t>（2）国有企业采购操作规范（T/CFLP 0016—2023）规定的非招标采购方式</w:t>
      </w:r>
    </w:p>
    <w:p>
      <w:pPr>
        <w:pStyle w:val="7"/>
        <w:spacing w:line="440" w:lineRule="exact"/>
        <w:ind w:left="1129" w:leftChars="134" w:hanging="848" w:hangingChars="303"/>
        <w:rPr>
          <w:rFonts w:hAnsi="仿宋"/>
          <w:sz w:val="28"/>
          <w:szCs w:val="28"/>
        </w:rPr>
      </w:pPr>
      <w:r>
        <w:rPr>
          <w:rFonts w:hint="eastAsia" w:hAnsi="仿宋"/>
          <w:sz w:val="28"/>
          <w:szCs w:val="28"/>
        </w:rPr>
        <w:t>（3）国有企业内控制度如何规范非招标采购方式</w:t>
      </w:r>
    </w:p>
    <w:p>
      <w:pPr>
        <w:widowControl/>
        <w:spacing w:line="440" w:lineRule="exact"/>
        <w:jc w:val="left"/>
        <w:rPr>
          <w:rFonts w:ascii="仿宋" w:hAnsi="仿宋" w:eastAsia="仿宋" w:cs="仿宋"/>
          <w:b/>
          <w:sz w:val="28"/>
          <w:szCs w:val="28"/>
        </w:rPr>
      </w:pPr>
      <w:r>
        <w:rPr>
          <w:rFonts w:hint="eastAsia" w:ascii="仿宋" w:hAnsi="仿宋" w:eastAsia="仿宋" w:cs="仿宋"/>
          <w:b/>
          <w:sz w:val="28"/>
          <w:szCs w:val="28"/>
        </w:rPr>
        <w:t>三、培训对象</w:t>
      </w:r>
    </w:p>
    <w:p>
      <w:pPr>
        <w:widowControl/>
        <w:spacing w:line="44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各地政府建设项目监管部门、工程交易中心、投资项目评审中心；各业主单位从事项目管理、合同管理、工程项目建设、开发、审计等相关部门人员；各建筑施工企业、工程公司、总承包公司、设计院、成套设备公司、设备材料供应商、国际招标公司、律师事务所及各公司的总经理、副总经理、部门经理、项目经理、市场开发、法务专员等相关部门负责人、中高等院校、医院及科研机构、参与EPC项目管理的所有管理者。</w:t>
      </w:r>
    </w:p>
    <w:p>
      <w:pPr>
        <w:widowControl/>
        <w:spacing w:line="440" w:lineRule="exact"/>
        <w:jc w:val="left"/>
        <w:rPr>
          <w:rFonts w:ascii="仿宋" w:hAnsi="仿宋" w:cs="楷体"/>
          <w:sz w:val="28"/>
          <w:szCs w:val="28"/>
        </w:rPr>
      </w:pPr>
      <w:r>
        <w:rPr>
          <w:rFonts w:hint="eastAsia" w:ascii="仿宋" w:hAnsi="仿宋" w:eastAsia="仿宋" w:cs="宋体"/>
          <w:b/>
          <w:bCs/>
          <w:sz w:val="28"/>
          <w:szCs w:val="28"/>
        </w:rPr>
        <w:t>四、培训时间和地点</w:t>
      </w:r>
    </w:p>
    <w:p>
      <w:pPr>
        <w:pStyle w:val="12"/>
        <w:spacing w:line="440" w:lineRule="exact"/>
        <w:ind w:firstLine="848" w:firstLineChars="303"/>
        <w:rPr>
          <w:rFonts w:ascii="仿宋" w:hAnsi="仿宋" w:cs="楷体"/>
          <w:sz w:val="28"/>
          <w:szCs w:val="28"/>
        </w:rPr>
      </w:pPr>
      <w:r>
        <w:rPr>
          <w:rFonts w:hint="eastAsia" w:ascii="仿宋" w:hAnsi="仿宋" w:cs="楷体"/>
          <w:sz w:val="28"/>
          <w:szCs w:val="28"/>
        </w:rPr>
        <w:t>2024年07月25日-29日（25日全天报到）地点：南京市</w:t>
      </w:r>
    </w:p>
    <w:p>
      <w:pPr>
        <w:pStyle w:val="12"/>
        <w:spacing w:line="440" w:lineRule="exact"/>
        <w:ind w:firstLine="848" w:firstLineChars="303"/>
        <w:rPr>
          <w:rFonts w:ascii="仿宋" w:hAnsi="仿宋" w:cs="楷体"/>
          <w:sz w:val="28"/>
          <w:szCs w:val="28"/>
        </w:rPr>
      </w:pPr>
      <w:bookmarkStart w:id="0" w:name="_Hlk167648149"/>
      <w:r>
        <w:rPr>
          <w:rFonts w:hint="eastAsia" w:ascii="仿宋" w:hAnsi="仿宋" w:cs="楷体"/>
          <w:sz w:val="28"/>
          <w:szCs w:val="28"/>
        </w:rPr>
        <w:t>2024年08月20日-24日（20日全天报到）地点：南宁市</w:t>
      </w:r>
    </w:p>
    <w:bookmarkEnd w:id="0"/>
    <w:p>
      <w:pPr>
        <w:pStyle w:val="12"/>
        <w:spacing w:line="440" w:lineRule="exact"/>
        <w:ind w:firstLine="848" w:firstLineChars="303"/>
        <w:rPr>
          <w:rFonts w:ascii="仿宋" w:hAnsi="仿宋" w:cs="楷体"/>
          <w:sz w:val="28"/>
          <w:szCs w:val="28"/>
        </w:rPr>
      </w:pPr>
      <w:bookmarkStart w:id="1" w:name="_Hlk167648209"/>
      <w:r>
        <w:rPr>
          <w:rFonts w:hint="eastAsia" w:ascii="仿宋" w:hAnsi="仿宋" w:cs="楷体"/>
          <w:sz w:val="28"/>
          <w:szCs w:val="28"/>
        </w:rPr>
        <w:t>2024年09月24日-28日（24日全天报到）地点：重庆市</w:t>
      </w:r>
    </w:p>
    <w:p>
      <w:pPr>
        <w:pStyle w:val="12"/>
        <w:spacing w:line="440" w:lineRule="exact"/>
        <w:ind w:firstLine="848" w:firstLineChars="303"/>
        <w:rPr>
          <w:rFonts w:ascii="仿宋" w:hAnsi="仿宋" w:cs="楷体"/>
          <w:sz w:val="28"/>
          <w:szCs w:val="28"/>
        </w:rPr>
      </w:pPr>
      <w:r>
        <w:rPr>
          <w:rFonts w:hint="eastAsia" w:ascii="仿宋" w:hAnsi="仿宋" w:cs="楷体"/>
          <w:sz w:val="28"/>
          <w:szCs w:val="28"/>
        </w:rPr>
        <w:t>2024年10月29日-11月2日（29日全天报到）地点：杭州</w:t>
      </w:r>
    </w:p>
    <w:bookmarkEnd w:id="1"/>
    <w:p>
      <w:pPr>
        <w:widowControl/>
        <w:spacing w:line="440" w:lineRule="exact"/>
        <w:jc w:val="left"/>
        <w:rPr>
          <w:rFonts w:ascii="仿宋" w:hAnsi="仿宋" w:eastAsia="仿宋" w:cs="宋体"/>
          <w:b/>
          <w:bCs/>
          <w:sz w:val="28"/>
          <w:szCs w:val="28"/>
        </w:rPr>
      </w:pPr>
      <w:r>
        <w:rPr>
          <w:rFonts w:hint="eastAsia" w:ascii="仿宋" w:hAnsi="仿宋" w:eastAsia="仿宋" w:cs="宋体"/>
          <w:b/>
          <w:bCs/>
          <w:sz w:val="28"/>
          <w:szCs w:val="28"/>
        </w:rPr>
        <w:t>五、收费标准</w:t>
      </w:r>
    </w:p>
    <w:p>
      <w:pPr>
        <w:widowControl/>
        <w:spacing w:line="440" w:lineRule="exact"/>
        <w:ind w:firstLine="562" w:firstLineChars="200"/>
        <w:jc w:val="left"/>
        <w:rPr>
          <w:rFonts w:ascii="仿宋" w:hAnsi="仿宋" w:eastAsia="仿宋" w:cs="宋体"/>
          <w:sz w:val="28"/>
          <w:szCs w:val="28"/>
        </w:rPr>
      </w:pPr>
      <w:r>
        <w:rPr>
          <w:rFonts w:hint="eastAsia" w:ascii="仿宋" w:hAnsi="仿宋" w:eastAsia="仿宋" w:cs="宋体"/>
          <w:b/>
          <w:bCs/>
          <w:sz w:val="28"/>
          <w:szCs w:val="28"/>
        </w:rPr>
        <w:t>标准</w:t>
      </w:r>
      <w:r>
        <w:rPr>
          <w:rFonts w:hint="eastAsia" w:ascii="仿宋" w:hAnsi="仿宋" w:eastAsia="仿宋" w:cs="宋体"/>
          <w:sz w:val="28"/>
          <w:szCs w:val="28"/>
        </w:rPr>
        <w:t>：</w:t>
      </w:r>
      <w:r>
        <w:rPr>
          <w:rFonts w:ascii="仿宋" w:hAnsi="仿宋" w:eastAsia="仿宋" w:cs="宋体"/>
          <w:sz w:val="28"/>
          <w:szCs w:val="28"/>
        </w:rPr>
        <w:t>3600</w:t>
      </w:r>
      <w:r>
        <w:rPr>
          <w:rFonts w:hint="eastAsia" w:ascii="仿宋" w:hAnsi="仿宋" w:eastAsia="仿宋" w:cs="宋体"/>
          <w:sz w:val="28"/>
          <w:szCs w:val="28"/>
        </w:rPr>
        <w:t>元/人（含培训、资料、课件、场地、专家等），住宿会务组统一安排，费用自理。</w:t>
      </w:r>
    </w:p>
    <w:p>
      <w:pPr>
        <w:widowControl/>
        <w:spacing w:line="440" w:lineRule="exact"/>
        <w:jc w:val="left"/>
        <w:rPr>
          <w:rFonts w:ascii="仿宋" w:hAnsi="仿宋" w:eastAsia="仿宋" w:cs="宋体"/>
          <w:b/>
          <w:bCs/>
          <w:sz w:val="28"/>
          <w:szCs w:val="28"/>
        </w:rPr>
      </w:pPr>
      <w:r>
        <w:rPr>
          <w:rFonts w:hint="eastAsia" w:ascii="仿宋" w:hAnsi="仿宋" w:eastAsia="仿宋" w:cs="宋体"/>
          <w:b/>
          <w:bCs/>
          <w:sz w:val="28"/>
          <w:szCs w:val="28"/>
        </w:rPr>
        <w:t>六、</w:t>
      </w:r>
      <w:r>
        <w:rPr>
          <w:rFonts w:hint="eastAsia" w:ascii="仿宋" w:hAnsi="仿宋" w:eastAsia="仿宋" w:cs="宋体"/>
          <w:b/>
          <w:bCs/>
          <w:sz w:val="28"/>
          <w:szCs w:val="28"/>
          <w:lang w:val="en-US" w:eastAsia="zh-CN"/>
        </w:rPr>
        <w:t>报名</w:t>
      </w:r>
      <w:r>
        <w:rPr>
          <w:rFonts w:hint="eastAsia" w:ascii="仿宋" w:hAnsi="仿宋" w:eastAsia="仿宋" w:cs="宋体"/>
          <w:b/>
          <w:bCs/>
          <w:sz w:val="28"/>
          <w:szCs w:val="28"/>
        </w:rPr>
        <w:t>方式</w:t>
      </w:r>
    </w:p>
    <w:p>
      <w:pPr>
        <w:widowControl/>
        <w:spacing w:line="44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联系人</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郭磊 18701646027     邮箱：</w:t>
      </w:r>
      <w:r>
        <w:rPr>
          <w:rFonts w:hint="eastAsia" w:ascii="仿宋" w:hAnsi="仿宋" w:eastAsia="仿宋" w:cs="宋体"/>
          <w:sz w:val="28"/>
          <w:szCs w:val="28"/>
          <w:lang w:val="en-US" w:eastAsia="zh-CN"/>
        </w:rPr>
        <w:fldChar w:fldCharType="begin"/>
      </w:r>
      <w:r>
        <w:rPr>
          <w:rFonts w:hint="eastAsia" w:ascii="仿宋" w:hAnsi="仿宋" w:eastAsia="仿宋" w:cs="宋体"/>
          <w:sz w:val="28"/>
          <w:szCs w:val="28"/>
          <w:lang w:val="en-US" w:eastAsia="zh-CN"/>
        </w:rPr>
        <w:instrText xml:space="preserve"> HYPERLINK "mailto:2846141911@qq.com" </w:instrText>
      </w:r>
      <w:r>
        <w:rPr>
          <w:rFonts w:hint="eastAsia" w:ascii="仿宋" w:hAnsi="仿宋" w:eastAsia="仿宋" w:cs="宋体"/>
          <w:sz w:val="28"/>
          <w:szCs w:val="28"/>
          <w:lang w:val="en-US" w:eastAsia="zh-CN"/>
        </w:rPr>
        <w:fldChar w:fldCharType="separate"/>
      </w:r>
      <w:r>
        <w:rPr>
          <w:rFonts w:hint="eastAsia" w:ascii="仿宋" w:hAnsi="仿宋" w:eastAsia="仿宋" w:cs="宋体"/>
          <w:sz w:val="28"/>
          <w:szCs w:val="28"/>
          <w:lang w:val="en-US" w:eastAsia="zh-CN"/>
        </w:rPr>
        <w:t>2952107154@qq.com</w:t>
      </w:r>
      <w:r>
        <w:rPr>
          <w:rFonts w:hint="eastAsia" w:ascii="仿宋" w:hAnsi="仿宋" w:eastAsia="仿宋" w:cs="宋体"/>
          <w:sz w:val="28"/>
          <w:szCs w:val="28"/>
          <w:lang w:val="en-US" w:eastAsia="zh-CN"/>
        </w:rPr>
        <w:fldChar w:fldCharType="end"/>
      </w:r>
      <w:r>
        <w:rPr>
          <w:rFonts w:ascii="仿宋" w:hAnsi="仿宋" w:eastAsia="仿宋" w:cs="宋体"/>
          <w:sz w:val="28"/>
          <w:szCs w:val="28"/>
        </w:rPr>
        <w:t xml:space="preserve"> </w:t>
      </w:r>
    </w:p>
    <w:p>
      <w:pPr>
        <w:pStyle w:val="7"/>
        <w:spacing w:line="440" w:lineRule="exact"/>
        <w:ind w:firstLine="560"/>
        <w:rPr>
          <w:rFonts w:hAnsi="仿宋"/>
          <w:sz w:val="28"/>
          <w:szCs w:val="28"/>
        </w:rPr>
      </w:pPr>
    </w:p>
    <w:p>
      <w:pPr>
        <w:pStyle w:val="7"/>
        <w:ind w:firstLine="560"/>
        <w:rPr>
          <w:rFonts w:hAnsi="仿宋"/>
          <w:sz w:val="28"/>
          <w:szCs w:val="28"/>
        </w:rPr>
      </w:pPr>
    </w:p>
    <w:p>
      <w:pPr>
        <w:pStyle w:val="7"/>
        <w:ind w:left="0" w:leftChars="0" w:firstLine="0" w:firstLineChars="0"/>
        <w:rPr>
          <w:rFonts w:hAnsi="仿宋"/>
          <w:sz w:val="28"/>
          <w:szCs w:val="28"/>
        </w:rPr>
      </w:pPr>
    </w:p>
    <w:p>
      <w:pPr>
        <w:pStyle w:val="7"/>
        <w:ind w:firstLine="560"/>
        <w:rPr>
          <w:rFonts w:hAnsi="仿宋"/>
          <w:sz w:val="28"/>
          <w:szCs w:val="28"/>
        </w:rPr>
      </w:pPr>
    </w:p>
    <w:p>
      <w:pPr>
        <w:pStyle w:val="7"/>
        <w:ind w:firstLine="560"/>
        <w:rPr>
          <w:rFonts w:hAnsi="仿宋"/>
          <w:sz w:val="28"/>
          <w:szCs w:val="28"/>
        </w:rPr>
      </w:pPr>
    </w:p>
    <w:p>
      <w:pPr>
        <w:pStyle w:val="7"/>
        <w:ind w:left="0" w:leftChars="0" w:firstLine="0" w:firstLineChars="0"/>
        <w:rPr>
          <w:rFonts w:hint="eastAsia" w:ascii="仿宋" w:hAnsi="仿宋" w:cs="楷体"/>
          <w:sz w:val="28"/>
          <w:szCs w:val="28"/>
          <w:lang w:val="en-US" w:eastAsia="zh-CN"/>
        </w:rPr>
      </w:pPr>
      <w:r>
        <w:rPr>
          <w:rFonts w:hint="eastAsia" w:hAnsi="仿宋"/>
          <w:sz w:val="28"/>
          <w:szCs w:val="28"/>
        </w:rPr>
        <w:t>附件二：</w:t>
      </w:r>
      <w:r>
        <w:rPr>
          <w:rFonts w:hint="eastAsia" w:ascii="仿宋" w:hAnsi="仿宋" w:cs="楷体"/>
          <w:sz w:val="28"/>
          <w:szCs w:val="28"/>
          <w:lang w:val="en-US" w:eastAsia="zh-CN"/>
        </w:rPr>
        <w:t>报名表</w:t>
      </w:r>
    </w:p>
    <w:tbl>
      <w:tblPr>
        <w:tblStyle w:val="8"/>
        <w:tblpPr w:leftFromText="180" w:rightFromText="180" w:vertAnchor="text" w:horzAnchor="margin" w:tblpXSpec="center" w:tblpY="70"/>
        <w:tblW w:w="10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1"/>
        <w:gridCol w:w="567"/>
        <w:gridCol w:w="1276"/>
        <w:gridCol w:w="1134"/>
        <w:gridCol w:w="1635"/>
        <w:gridCol w:w="349"/>
        <w:gridCol w:w="911"/>
        <w:gridCol w:w="417"/>
        <w:gridCol w:w="978"/>
        <w:gridCol w:w="52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eastAsia="仿宋" w:cs="楷体"/>
                <w:sz w:val="28"/>
                <w:szCs w:val="28"/>
              </w:rPr>
            </w:pPr>
            <w:r>
              <w:rPr>
                <w:rFonts w:hint="eastAsia" w:ascii="仿宋" w:hAnsi="仿宋" w:eastAsia="仿宋" w:cs="楷体"/>
                <w:sz w:val="28"/>
                <w:szCs w:val="28"/>
              </w:rPr>
              <w:t>（开票单位）</w:t>
            </w:r>
          </w:p>
        </w:tc>
        <w:tc>
          <w:tcPr>
            <w:tcW w:w="6289"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bookmarkStart w:id="2" w:name="_GoBack"/>
            <w:bookmarkEnd w:id="2"/>
          </w:p>
        </w:tc>
        <w:tc>
          <w:tcPr>
            <w:tcW w:w="978"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eastAsia="仿宋" w:cs="楷体"/>
                <w:sz w:val="28"/>
                <w:szCs w:val="28"/>
              </w:rPr>
            </w:pPr>
            <w:r>
              <w:rPr>
                <w:rFonts w:hint="eastAsia" w:ascii="仿宋" w:hAnsi="仿宋" w:eastAsia="仿宋" w:cs="楷体"/>
                <w:sz w:val="28"/>
                <w:szCs w:val="28"/>
              </w:rPr>
              <w:t>邮  编</w:t>
            </w:r>
          </w:p>
        </w:tc>
        <w:tc>
          <w:tcPr>
            <w:tcW w:w="1805"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eastAsia="仿宋" w:cs="楷体"/>
                <w:sz w:val="28"/>
                <w:szCs w:val="28"/>
              </w:rPr>
            </w:pPr>
            <w:r>
              <w:rPr>
                <w:rFonts w:hint="eastAsia" w:ascii="仿宋" w:hAnsi="仿宋" w:eastAsia="仿宋" w:cs="楷体"/>
                <w:sz w:val="28"/>
                <w:szCs w:val="28"/>
              </w:rPr>
              <w:t>通讯地址</w:t>
            </w:r>
          </w:p>
        </w:tc>
        <w:tc>
          <w:tcPr>
            <w:tcW w:w="9072"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eastAsia="仿宋" w:cs="楷体"/>
                <w:sz w:val="28"/>
                <w:szCs w:val="28"/>
              </w:rPr>
            </w:pPr>
            <w:r>
              <w:rPr>
                <w:rFonts w:hint="eastAsia" w:ascii="仿宋" w:hAnsi="仿宋" w:eastAsia="仿宋" w:cs="楷体"/>
                <w:sz w:val="28"/>
                <w:szCs w:val="28"/>
              </w:rPr>
              <w:t>联 系 人</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r>
              <w:rPr>
                <w:rFonts w:hint="eastAsia" w:ascii="仿宋" w:hAnsi="仿宋" w:eastAsia="仿宋" w:cs="楷体"/>
                <w:sz w:val="28"/>
                <w:szCs w:val="28"/>
              </w:rPr>
              <w:t>E-mail</w:t>
            </w:r>
          </w:p>
        </w:tc>
        <w:tc>
          <w:tcPr>
            <w:tcW w:w="4111"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eastAsia="仿宋" w:cs="楷体"/>
                <w:sz w:val="28"/>
                <w:szCs w:val="28"/>
              </w:rPr>
            </w:pPr>
            <w:r>
              <w:rPr>
                <w:rFonts w:hint="eastAsia" w:ascii="仿宋" w:hAnsi="仿宋" w:eastAsia="仿宋" w:cs="楷体"/>
                <w:sz w:val="28"/>
                <w:szCs w:val="28"/>
              </w:rPr>
              <w:t>电    话</w:t>
            </w:r>
          </w:p>
        </w:tc>
        <w:tc>
          <w:tcPr>
            <w:tcW w:w="2977" w:type="dxa"/>
            <w:gridSpan w:val="3"/>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r>
              <w:rPr>
                <w:rFonts w:hint="eastAsia" w:ascii="仿宋" w:hAnsi="仿宋" w:eastAsia="仿宋" w:cs="楷体"/>
                <w:sz w:val="28"/>
                <w:szCs w:val="28"/>
              </w:rPr>
              <w:t>传  真</w:t>
            </w:r>
          </w:p>
        </w:tc>
        <w:tc>
          <w:tcPr>
            <w:tcW w:w="4111" w:type="dxa"/>
            <w:gridSpan w:val="5"/>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eastAsia="仿宋" w:cs="楷体"/>
                <w:sz w:val="28"/>
                <w:szCs w:val="28"/>
              </w:rPr>
            </w:pPr>
            <w:r>
              <w:rPr>
                <w:rFonts w:hint="eastAsia" w:ascii="仿宋" w:hAnsi="仿宋" w:eastAsia="仿宋" w:cs="楷体"/>
                <w:sz w:val="28"/>
                <w:szCs w:val="28"/>
              </w:rPr>
              <w:t>姓 名</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eastAsia="仿宋" w:cs="楷体"/>
                <w:sz w:val="24"/>
              </w:rPr>
            </w:pPr>
            <w:r>
              <w:rPr>
                <w:rFonts w:hint="eastAsia" w:ascii="仿宋" w:hAnsi="仿宋" w:eastAsia="仿宋" w:cs="楷体"/>
                <w:sz w:val="24"/>
              </w:rPr>
              <w:t>性别</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eastAsia="仿宋" w:cs="楷体"/>
                <w:sz w:val="28"/>
                <w:szCs w:val="28"/>
              </w:rPr>
            </w:pPr>
            <w:r>
              <w:rPr>
                <w:rFonts w:hint="eastAsia" w:ascii="仿宋" w:hAnsi="仿宋" w:eastAsia="仿宋" w:cs="楷体"/>
                <w:sz w:val="28"/>
                <w:szCs w:val="28"/>
              </w:rPr>
              <w:t>部 门</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eastAsia="仿宋" w:cs="楷体"/>
                <w:sz w:val="28"/>
                <w:szCs w:val="28"/>
              </w:rPr>
            </w:pPr>
            <w:r>
              <w:rPr>
                <w:rFonts w:hint="eastAsia" w:ascii="仿宋" w:hAnsi="仿宋" w:eastAsia="仿宋" w:cs="楷体"/>
                <w:sz w:val="28"/>
                <w:szCs w:val="28"/>
              </w:rPr>
              <w:t>职  务</w:t>
            </w: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r>
              <w:rPr>
                <w:rFonts w:hint="eastAsia" w:ascii="仿宋" w:hAnsi="仿宋" w:eastAsia="仿宋" w:cs="楷体"/>
                <w:sz w:val="28"/>
                <w:szCs w:val="28"/>
              </w:rPr>
              <w:t>手 机</w:t>
            </w: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r>
              <w:rPr>
                <w:rFonts w:hint="eastAsia" w:ascii="仿宋" w:hAnsi="仿宋" w:eastAsia="仿宋" w:cs="楷体"/>
                <w:sz w:val="28"/>
                <w:szCs w:val="28"/>
              </w:rPr>
              <w:t>E-mail</w:t>
            </w: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eastAsia="仿宋" w:cs="楷体"/>
                <w:sz w:val="28"/>
                <w:szCs w:val="28"/>
              </w:rPr>
            </w:pPr>
            <w:r>
              <w:rPr>
                <w:rFonts w:hint="eastAsia" w:ascii="仿宋" w:hAnsi="仿宋" w:eastAsia="仿宋" w:cs="楷体"/>
                <w:sz w:val="28"/>
                <w:szCs w:val="28"/>
              </w:rPr>
              <w:t>培训地点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rFonts w:ascii="仿宋" w:hAnsi="仿宋" w:eastAsia="仿宋" w:cs="楷体"/>
                <w:sz w:val="28"/>
                <w:szCs w:val="28"/>
              </w:rPr>
            </w:pP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984"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2835"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jc w:val="left"/>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eastAsia="仿宋" w:cs="楷体"/>
                <w:sz w:val="28"/>
                <w:szCs w:val="28"/>
                <w:lang w:val="zh-CN"/>
              </w:rPr>
            </w:pPr>
            <w:r>
              <w:rPr>
                <w:rFonts w:hint="eastAsia" w:ascii="仿宋" w:hAnsi="仿宋" w:eastAsia="仿宋" w:cs="楷体"/>
                <w:sz w:val="28"/>
                <w:szCs w:val="28"/>
                <w:lang w:val="zh-CN"/>
              </w:rPr>
              <w:t>是否住宿</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仿宋" w:hAnsi="仿宋" w:eastAsia="仿宋" w:cs="楷体"/>
                <w:sz w:val="28"/>
                <w:szCs w:val="28"/>
              </w:rPr>
            </w:pPr>
            <w:r>
              <w:rPr>
                <w:rFonts w:hint="eastAsia" w:ascii="仿宋" w:hAnsi="仿宋" w:eastAsia="仿宋" w:cs="楷体"/>
                <w:sz w:val="28"/>
                <w:szCs w:val="28"/>
              </w:rPr>
              <w:t>□是 □否</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rPr>
                <w:rFonts w:ascii="仿宋" w:hAnsi="仿宋" w:eastAsia="仿宋" w:cs="楷体"/>
                <w:sz w:val="28"/>
                <w:szCs w:val="28"/>
              </w:rPr>
            </w:pPr>
            <w:r>
              <w:rPr>
                <w:rFonts w:hint="eastAsia" w:ascii="仿宋" w:hAnsi="仿宋" w:eastAsia="仿宋" w:cs="楷体"/>
                <w:sz w:val="28"/>
                <w:szCs w:val="28"/>
              </w:rPr>
              <w:t>住宿要求</w:t>
            </w:r>
          </w:p>
        </w:tc>
        <w:tc>
          <w:tcPr>
            <w:tcW w:w="6095" w:type="dxa"/>
            <w:gridSpan w:val="7"/>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eastAsia="仿宋" w:cs="楷体"/>
                <w:sz w:val="28"/>
                <w:szCs w:val="28"/>
              </w:rPr>
            </w:pPr>
            <w:r>
              <w:rPr>
                <w:rFonts w:hint="eastAsia" w:ascii="仿宋" w:hAnsi="仿宋" w:eastAsia="仿宋" w:cs="楷体"/>
                <w:sz w:val="28"/>
                <w:szCs w:val="28"/>
              </w:rPr>
              <w:t>□单住(需另补床位费) □合住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eastAsia="仿宋" w:cs="楷体"/>
                <w:sz w:val="28"/>
                <w:szCs w:val="28"/>
                <w:lang w:val="zh-CN"/>
              </w:rPr>
            </w:pPr>
            <w:r>
              <w:rPr>
                <w:rFonts w:hint="eastAsia" w:ascii="仿宋" w:hAnsi="仿宋" w:eastAsia="仿宋" w:cs="楷体"/>
                <w:sz w:val="28"/>
                <w:szCs w:val="28"/>
                <w:lang w:val="zh-CN"/>
              </w:rPr>
              <w:t>付款方式</w:t>
            </w:r>
          </w:p>
        </w:tc>
        <w:tc>
          <w:tcPr>
            <w:tcW w:w="4612"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r>
              <w:rPr>
                <w:rFonts w:hint="eastAsia" w:ascii="仿宋" w:hAnsi="仿宋" w:eastAsia="仿宋" w:cs="楷体"/>
                <w:sz w:val="28"/>
                <w:szCs w:val="28"/>
              </w:rPr>
              <w:t>□通过银行  □微信或支付宝</w:t>
            </w:r>
          </w:p>
        </w:tc>
        <w:tc>
          <w:tcPr>
            <w:tcW w:w="1260" w:type="dxa"/>
            <w:gridSpan w:val="2"/>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r>
              <w:rPr>
                <w:rFonts w:hint="eastAsia" w:ascii="仿宋" w:hAnsi="仿宋" w:eastAsia="仿宋" w:cs="楷体"/>
                <w:sz w:val="28"/>
                <w:szCs w:val="28"/>
              </w:rPr>
              <w:t>金额 额</w:t>
            </w:r>
          </w:p>
        </w:tc>
        <w:tc>
          <w:tcPr>
            <w:tcW w:w="3200" w:type="dxa"/>
            <w:gridSpan w:val="4"/>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eastAsia="仿宋" w:cs="楷体"/>
                <w:sz w:val="28"/>
                <w:szCs w:val="28"/>
              </w:rPr>
            </w:pPr>
            <w:r>
              <w:rPr>
                <w:rFonts w:hint="eastAsia" w:ascii="仿宋" w:hAnsi="仿宋" w:eastAsia="仿宋" w:cs="楷体"/>
                <w:sz w:val="28"/>
                <w:szCs w:val="28"/>
              </w:rPr>
              <w:t>开票信息</w:t>
            </w:r>
          </w:p>
        </w:tc>
        <w:tc>
          <w:tcPr>
            <w:tcW w:w="9072"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560" w:firstLineChars="200"/>
              <w:rPr>
                <w:rFonts w:ascii="仿宋" w:hAnsi="仿宋" w:eastAsia="仿宋" w:cs="楷体"/>
                <w:sz w:val="28"/>
                <w:szCs w:val="28"/>
              </w:rPr>
            </w:pPr>
            <w:r>
              <w:rPr>
                <w:rFonts w:hint="eastAsia" w:ascii="仿宋" w:hAnsi="仿宋" w:eastAsia="仿宋" w:cs="楷体"/>
                <w:sz w:val="28"/>
                <w:szCs w:val="28"/>
              </w:rPr>
              <w:t>□</w:t>
            </w:r>
            <w:r>
              <w:rPr>
                <w:rFonts w:hint="eastAsia" w:ascii="仿宋" w:hAnsi="仿宋" w:eastAsia="仿宋" w:cs="楷体"/>
                <w:sz w:val="28"/>
                <w:szCs w:val="28"/>
                <w:lang w:val="zh-CN"/>
              </w:rPr>
              <w:t>增值税专用发票</w:t>
            </w:r>
            <w:r>
              <w:rPr>
                <w:rFonts w:hint="eastAsia" w:ascii="仿宋" w:hAnsi="仿宋" w:eastAsia="仿宋" w:cs="楷体"/>
                <w:sz w:val="28"/>
                <w:szCs w:val="28"/>
              </w:rPr>
              <w:t xml:space="preserve">         □增值税普票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67" w:hRule="exac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40" w:firstLineChars="100"/>
              <w:rPr>
                <w:rFonts w:ascii="仿宋" w:hAnsi="仿宋" w:eastAsia="仿宋" w:cs="楷体"/>
                <w:sz w:val="28"/>
                <w:szCs w:val="28"/>
              </w:rPr>
            </w:pPr>
            <w:r>
              <w:rPr>
                <w:rFonts w:hint="eastAsia" w:ascii="仿宋" w:hAnsi="仿宋" w:eastAsia="仿宋" w:cs="仿宋"/>
                <w:sz w:val="24"/>
              </w:rPr>
              <w:t>发票信息 （专票请填写1-</w:t>
            </w:r>
            <w:r>
              <w:rPr>
                <w:rFonts w:ascii="仿宋" w:hAnsi="仿宋" w:eastAsia="仿宋" w:cs="仿宋"/>
                <w:sz w:val="24"/>
              </w:rPr>
              <w:t>4</w:t>
            </w:r>
            <w:r>
              <w:rPr>
                <w:rFonts w:hint="eastAsia" w:ascii="仿宋" w:hAnsi="仿宋" w:eastAsia="仿宋" w:cs="仿宋"/>
                <w:sz w:val="24"/>
              </w:rPr>
              <w:t>全部信息；</w:t>
            </w:r>
          </w:p>
        </w:tc>
        <w:tc>
          <w:tcPr>
            <w:tcW w:w="9072" w:type="dxa"/>
            <w:gridSpan w:val="10"/>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4"/>
              </w:rPr>
            </w:pPr>
            <w:r>
              <w:rPr>
                <w:rFonts w:hint="eastAsia" w:ascii="仿宋" w:hAnsi="仿宋" w:eastAsia="仿宋" w:cs="宋体"/>
                <w:sz w:val="24"/>
              </w:rPr>
              <w:t>1.开票名称：</w:t>
            </w:r>
          </w:p>
          <w:p>
            <w:pPr>
              <w:jc w:val="left"/>
              <w:rPr>
                <w:rFonts w:ascii="仿宋" w:hAnsi="仿宋" w:eastAsia="仿宋" w:cs="宋体"/>
                <w:sz w:val="24"/>
              </w:rPr>
            </w:pPr>
            <w:r>
              <w:rPr>
                <w:rFonts w:hint="eastAsia" w:ascii="仿宋" w:hAnsi="仿宋" w:eastAsia="仿宋" w:cs="宋体"/>
                <w:sz w:val="24"/>
              </w:rPr>
              <w:t>2.纳税人识别号：</w:t>
            </w:r>
          </w:p>
          <w:p>
            <w:pPr>
              <w:jc w:val="left"/>
              <w:rPr>
                <w:rFonts w:ascii="仿宋" w:hAnsi="仿宋" w:eastAsia="仿宋" w:cs="宋体"/>
                <w:sz w:val="24"/>
              </w:rPr>
            </w:pPr>
            <w:r>
              <w:rPr>
                <w:rFonts w:hint="eastAsia" w:ascii="仿宋" w:hAnsi="仿宋" w:eastAsia="仿宋" w:cs="宋体"/>
                <w:sz w:val="24"/>
              </w:rPr>
              <w:t>3.地址、电话：</w:t>
            </w:r>
          </w:p>
          <w:p>
            <w:pPr>
              <w:jc w:val="left"/>
              <w:rPr>
                <w:rFonts w:ascii="仿宋" w:hAnsi="仿宋" w:eastAsia="仿宋" w:cs="宋体"/>
                <w:sz w:val="24"/>
              </w:rPr>
            </w:pPr>
            <w:r>
              <w:rPr>
                <w:rFonts w:hint="eastAsia" w:ascii="仿宋" w:hAnsi="仿宋" w:eastAsia="仿宋" w:cs="宋体"/>
                <w:sz w:val="24"/>
              </w:rPr>
              <w:t>4.开户行及账号：</w:t>
            </w:r>
          </w:p>
          <w:p>
            <w:pPr>
              <w:widowControl/>
              <w:spacing w:line="380" w:lineRule="exact"/>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127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ind w:firstLine="280" w:firstLineChars="100"/>
              <w:rPr>
                <w:rFonts w:ascii="仿宋" w:hAnsi="仿宋" w:eastAsia="仿宋" w:cs="楷体"/>
                <w:sz w:val="28"/>
                <w:szCs w:val="28"/>
              </w:rPr>
            </w:pPr>
            <w:r>
              <w:rPr>
                <w:rFonts w:hint="eastAsia" w:ascii="仿宋" w:hAnsi="仿宋" w:eastAsia="仿宋" w:cs="楷体"/>
                <w:sz w:val="28"/>
                <w:szCs w:val="28"/>
              </w:rPr>
              <w:t>收款账户</w:t>
            </w:r>
          </w:p>
        </w:tc>
        <w:tc>
          <w:tcPr>
            <w:tcW w:w="9072" w:type="dxa"/>
            <w:gridSpan w:val="10"/>
            <w:tcBorders>
              <w:top w:val="single" w:color="auto" w:sz="4" w:space="0"/>
              <w:left w:val="single" w:color="auto" w:sz="4" w:space="0"/>
              <w:bottom w:val="single" w:color="auto" w:sz="4" w:space="0"/>
              <w:right w:val="single" w:color="auto" w:sz="4" w:space="0"/>
            </w:tcBorders>
            <w:vAlign w:val="center"/>
          </w:tcPr>
          <w:p>
            <w:pPr>
              <w:widowControl/>
              <w:spacing w:line="380" w:lineRule="exact"/>
              <w:ind w:left="280" w:hanging="280" w:hangingChars="100"/>
              <w:rPr>
                <w:rFonts w:ascii="仿宋" w:hAnsi="仿宋" w:eastAsia="仿宋" w:cs="楷体"/>
                <w:sz w:val="28"/>
                <w:szCs w:val="28"/>
                <w:lang w:val="zh-CN"/>
              </w:rPr>
            </w:pPr>
            <w:r>
              <w:rPr>
                <w:rFonts w:hint="eastAsia" w:ascii="仿宋" w:hAnsi="仿宋" w:eastAsia="仿宋" w:cs="楷体"/>
                <w:sz w:val="28"/>
                <w:szCs w:val="28"/>
                <w:lang w:val="zh-CN"/>
              </w:rPr>
              <w:t>户  名：北京中科建宏工程咨询有限公司</w:t>
            </w:r>
          </w:p>
          <w:p>
            <w:pPr>
              <w:widowControl/>
              <w:spacing w:line="380" w:lineRule="exact"/>
              <w:ind w:left="280" w:hanging="280" w:hangingChars="100"/>
              <w:rPr>
                <w:rFonts w:ascii="仿宋" w:hAnsi="仿宋" w:eastAsia="仿宋" w:cs="楷体"/>
                <w:sz w:val="28"/>
                <w:szCs w:val="28"/>
                <w:lang w:val="zh-CN"/>
              </w:rPr>
            </w:pPr>
            <w:r>
              <w:rPr>
                <w:rFonts w:hint="eastAsia" w:ascii="仿宋" w:hAnsi="仿宋" w:eastAsia="仿宋" w:cs="楷体"/>
                <w:sz w:val="28"/>
                <w:szCs w:val="28"/>
                <w:lang w:val="zh-CN"/>
              </w:rPr>
              <w:t>开户行：中国工商银行股份有限公司北京永定路支行</w:t>
            </w:r>
          </w:p>
          <w:p>
            <w:pPr>
              <w:widowControl/>
              <w:spacing w:line="380" w:lineRule="exact"/>
              <w:ind w:left="280" w:hanging="280" w:hangingChars="100"/>
              <w:rPr>
                <w:rFonts w:ascii="仿宋" w:hAnsi="仿宋" w:eastAsia="仿宋" w:cs="楷体"/>
                <w:sz w:val="28"/>
                <w:szCs w:val="28"/>
                <w:lang w:val="zh-CN"/>
              </w:rPr>
            </w:pPr>
            <w:r>
              <w:rPr>
                <w:rFonts w:hint="eastAsia" w:ascii="仿宋" w:hAnsi="仿宋" w:eastAsia="仿宋" w:cs="楷体"/>
                <w:sz w:val="28"/>
                <w:szCs w:val="28"/>
                <w:lang w:val="zh-CN"/>
              </w:rPr>
              <w:t>账  号：0200235609200019794   行号：102100000499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7" w:hRule="exact"/>
        </w:trPr>
        <w:tc>
          <w:tcPr>
            <w:tcW w:w="10343" w:type="dxa"/>
            <w:gridSpan w:val="11"/>
            <w:tcBorders>
              <w:top w:val="single" w:color="auto" w:sz="4" w:space="0"/>
              <w:left w:val="single" w:color="auto" w:sz="4" w:space="0"/>
              <w:bottom w:val="single" w:color="auto" w:sz="4" w:space="0"/>
              <w:right w:val="single" w:color="auto" w:sz="4" w:space="0"/>
            </w:tcBorders>
            <w:vAlign w:val="center"/>
          </w:tcPr>
          <w:p>
            <w:pPr>
              <w:pStyle w:val="12"/>
              <w:spacing w:line="420" w:lineRule="exact"/>
              <w:ind w:firstLine="0" w:firstLineChars="0"/>
              <w:rPr>
                <w:rFonts w:ascii="仿宋" w:hAnsi="仿宋"/>
                <w:sz w:val="24"/>
              </w:rPr>
            </w:pPr>
            <w:r>
              <w:rPr>
                <w:rFonts w:hint="eastAsia" w:ascii="仿宋" w:hAnsi="仿宋" w:cs="宋体"/>
                <w:sz w:val="24"/>
              </w:rPr>
              <w:t>※</w:t>
            </w:r>
            <w:r>
              <w:rPr>
                <w:rFonts w:ascii="仿宋" w:hAnsi="仿宋"/>
                <w:sz w:val="24"/>
              </w:rPr>
              <w:t xml:space="preserve">学前调查：为了更好地提高培训实效，请学员们将您在实际工作中最感困惑、急待解决的1至2 个问题提前告诉我们，希望本次培训班能帮助您打开这些问号，欢迎大家踊跃留下您的疑问! </w:t>
            </w:r>
          </w:p>
          <w:p>
            <w:pPr>
              <w:pStyle w:val="12"/>
              <w:spacing w:line="420" w:lineRule="exact"/>
              <w:ind w:firstLine="0" w:firstLineChars="0"/>
              <w:rPr>
                <w:rFonts w:ascii="仿宋" w:hAnsi="仿宋"/>
                <w:sz w:val="24"/>
              </w:rPr>
            </w:pPr>
            <w:r>
              <w:rPr>
                <w:rFonts w:ascii="仿宋" w:hAnsi="仿宋"/>
                <w:sz w:val="24"/>
              </w:rPr>
              <w:t xml:space="preserve">问题1._________________________________________________ </w:t>
            </w:r>
          </w:p>
          <w:p>
            <w:pPr>
              <w:pStyle w:val="12"/>
              <w:spacing w:line="420" w:lineRule="exact"/>
              <w:ind w:firstLine="0" w:firstLineChars="0"/>
              <w:rPr>
                <w:rFonts w:ascii="仿宋" w:hAnsi="仿宋" w:cs="楷体"/>
                <w:sz w:val="24"/>
                <w:u w:val="single"/>
              </w:rPr>
            </w:pPr>
            <w:r>
              <w:rPr>
                <w:rFonts w:ascii="仿宋" w:hAnsi="仿宋"/>
                <w:sz w:val="24"/>
              </w:rPr>
              <w:t>问题2.</w:t>
            </w:r>
            <w:r>
              <w:rPr>
                <w:rFonts w:ascii="仿宋" w:hAnsi="仿宋"/>
                <w:sz w:val="24"/>
                <w:u w:val="single"/>
              </w:rPr>
              <w:t xml:space="preserve">                                                   </w:t>
            </w:r>
          </w:p>
          <w:p>
            <w:pPr>
              <w:widowControl/>
              <w:spacing w:line="380" w:lineRule="exact"/>
              <w:ind w:firstLine="280" w:firstLineChars="100"/>
              <w:rPr>
                <w:rFonts w:ascii="仿宋" w:hAnsi="仿宋" w:eastAsia="仿宋" w:cs="楷体"/>
                <w:sz w:val="28"/>
                <w:szCs w:val="28"/>
                <w:lang w:val="zh-CN"/>
              </w:rPr>
            </w:pPr>
          </w:p>
          <w:p>
            <w:pPr>
              <w:widowControl/>
              <w:spacing w:line="380" w:lineRule="exact"/>
              <w:rPr>
                <w:rFonts w:ascii="仿宋" w:hAnsi="仿宋" w:eastAsia="仿宋" w:cs="楷体"/>
                <w:sz w:val="28"/>
                <w:szCs w:val="28"/>
                <w:lang w:val="zh-CN"/>
              </w:rPr>
            </w:pPr>
          </w:p>
        </w:tc>
      </w:tr>
    </w:tbl>
    <w:p>
      <w:pPr>
        <w:pStyle w:val="12"/>
        <w:spacing w:line="420" w:lineRule="exact"/>
        <w:rPr>
          <w:rFonts w:ascii="仿宋" w:hAnsi="仿宋" w:cs="楷体"/>
          <w:b/>
          <w:bCs/>
          <w:sz w:val="28"/>
          <w:szCs w:val="28"/>
        </w:rPr>
      </w:pPr>
      <w:r>
        <w:rPr>
          <w:rFonts w:hint="eastAsia" w:ascii="仿宋" w:hAnsi="仿宋" w:eastAsia="仿宋" w:cs="宋体"/>
          <w:b/>
          <w:bCs/>
          <w:sz w:val="28"/>
          <w:szCs w:val="28"/>
        </w:rPr>
        <w:t>联系人</w:t>
      </w:r>
      <w:r>
        <w:rPr>
          <w:rFonts w:hint="eastAsia" w:ascii="仿宋" w:hAnsi="仿宋" w:eastAsia="仿宋" w:cs="宋体"/>
          <w:b/>
          <w:bCs/>
          <w:sz w:val="28"/>
          <w:szCs w:val="28"/>
          <w:lang w:eastAsia="zh-CN"/>
        </w:rPr>
        <w:t>：</w:t>
      </w:r>
      <w:r>
        <w:rPr>
          <w:rFonts w:hint="eastAsia" w:ascii="仿宋" w:hAnsi="仿宋" w:eastAsia="仿宋" w:cs="宋体"/>
          <w:b/>
          <w:bCs/>
          <w:sz w:val="28"/>
          <w:szCs w:val="28"/>
          <w:lang w:val="en-US" w:eastAsia="zh-CN"/>
        </w:rPr>
        <w:t>郭磊 18701646027     邮箱：</w:t>
      </w:r>
      <w:r>
        <w:rPr>
          <w:rFonts w:hint="eastAsia" w:ascii="仿宋" w:hAnsi="仿宋" w:eastAsia="仿宋" w:cs="宋体"/>
          <w:b/>
          <w:bCs/>
          <w:sz w:val="28"/>
          <w:szCs w:val="28"/>
          <w:lang w:val="en-US" w:eastAsia="zh-CN"/>
        </w:rPr>
        <w:fldChar w:fldCharType="begin"/>
      </w:r>
      <w:r>
        <w:rPr>
          <w:rFonts w:hint="eastAsia" w:ascii="仿宋" w:hAnsi="仿宋" w:eastAsia="仿宋" w:cs="宋体"/>
          <w:b/>
          <w:bCs/>
          <w:sz w:val="28"/>
          <w:szCs w:val="28"/>
          <w:lang w:val="en-US" w:eastAsia="zh-CN"/>
        </w:rPr>
        <w:instrText xml:space="preserve"> HYPERLINK "mailto:2846141911@qq.com" </w:instrText>
      </w:r>
      <w:r>
        <w:rPr>
          <w:rFonts w:hint="eastAsia" w:ascii="仿宋" w:hAnsi="仿宋" w:eastAsia="仿宋" w:cs="宋体"/>
          <w:b/>
          <w:bCs/>
          <w:sz w:val="28"/>
          <w:szCs w:val="28"/>
          <w:lang w:val="en-US" w:eastAsia="zh-CN"/>
        </w:rPr>
        <w:fldChar w:fldCharType="separate"/>
      </w:r>
      <w:r>
        <w:rPr>
          <w:rFonts w:hint="eastAsia" w:ascii="仿宋" w:hAnsi="仿宋" w:eastAsia="仿宋" w:cs="宋体"/>
          <w:b/>
          <w:bCs/>
          <w:sz w:val="28"/>
          <w:szCs w:val="28"/>
          <w:lang w:val="en-US" w:eastAsia="zh-CN"/>
        </w:rPr>
        <w:t>2952107154@qq.com</w:t>
      </w:r>
      <w:r>
        <w:rPr>
          <w:rFonts w:hint="eastAsia" w:ascii="仿宋" w:hAnsi="仿宋" w:eastAsia="仿宋" w:cs="宋体"/>
          <w:b/>
          <w:bCs/>
          <w:sz w:val="28"/>
          <w:szCs w:val="28"/>
          <w:lang w:val="en-US" w:eastAsia="zh-CN"/>
        </w:rPr>
        <w:fldChar w:fldCharType="end"/>
      </w:r>
    </w:p>
    <w:sectPr>
      <w:footerReference r:id="rId3" w:type="default"/>
      <w:pgSz w:w="11906" w:h="16838"/>
      <w:pgMar w:top="851" w:right="1274" w:bottom="851" w:left="1134" w:header="851"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8097467"/>
      <w:docPartObj>
        <w:docPartGallery w:val="autotext"/>
      </w:docPartObj>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zZjJjNGM1NmEzMTBhODg5YjAzNDU4MTJkMjNjZmEifQ=="/>
  </w:docVars>
  <w:rsids>
    <w:rsidRoot w:val="004F78CF"/>
    <w:rsid w:val="000227D1"/>
    <w:rsid w:val="00053569"/>
    <w:rsid w:val="00073290"/>
    <w:rsid w:val="000C45D7"/>
    <w:rsid w:val="00103B3B"/>
    <w:rsid w:val="001748EB"/>
    <w:rsid w:val="001A3236"/>
    <w:rsid w:val="001E0D5F"/>
    <w:rsid w:val="001F210D"/>
    <w:rsid w:val="001F252E"/>
    <w:rsid w:val="001F66F6"/>
    <w:rsid w:val="00212356"/>
    <w:rsid w:val="002403AE"/>
    <w:rsid w:val="0026759C"/>
    <w:rsid w:val="00274BF6"/>
    <w:rsid w:val="00291452"/>
    <w:rsid w:val="0029326D"/>
    <w:rsid w:val="002E6039"/>
    <w:rsid w:val="002F6261"/>
    <w:rsid w:val="0031248B"/>
    <w:rsid w:val="003145B6"/>
    <w:rsid w:val="00331841"/>
    <w:rsid w:val="00347C5A"/>
    <w:rsid w:val="0035787C"/>
    <w:rsid w:val="00362C43"/>
    <w:rsid w:val="00373B92"/>
    <w:rsid w:val="00377FEF"/>
    <w:rsid w:val="003909D8"/>
    <w:rsid w:val="0039787F"/>
    <w:rsid w:val="003A7CA3"/>
    <w:rsid w:val="00411645"/>
    <w:rsid w:val="00465ECB"/>
    <w:rsid w:val="004A67C6"/>
    <w:rsid w:val="004B0D0B"/>
    <w:rsid w:val="004B0DFD"/>
    <w:rsid w:val="004C5383"/>
    <w:rsid w:val="004C6594"/>
    <w:rsid w:val="004E1CA2"/>
    <w:rsid w:val="004F78CF"/>
    <w:rsid w:val="00515F9D"/>
    <w:rsid w:val="00565FCD"/>
    <w:rsid w:val="00592488"/>
    <w:rsid w:val="005B352D"/>
    <w:rsid w:val="005D1976"/>
    <w:rsid w:val="005D71F0"/>
    <w:rsid w:val="00601CE3"/>
    <w:rsid w:val="00606FE6"/>
    <w:rsid w:val="00621452"/>
    <w:rsid w:val="00645D2D"/>
    <w:rsid w:val="0065150B"/>
    <w:rsid w:val="00671D62"/>
    <w:rsid w:val="00685B4D"/>
    <w:rsid w:val="006A486B"/>
    <w:rsid w:val="006A78D6"/>
    <w:rsid w:val="00701715"/>
    <w:rsid w:val="0071362B"/>
    <w:rsid w:val="007331A5"/>
    <w:rsid w:val="00742090"/>
    <w:rsid w:val="00743411"/>
    <w:rsid w:val="00746822"/>
    <w:rsid w:val="007533E5"/>
    <w:rsid w:val="0077432D"/>
    <w:rsid w:val="007773EC"/>
    <w:rsid w:val="007854D4"/>
    <w:rsid w:val="00791410"/>
    <w:rsid w:val="007F6306"/>
    <w:rsid w:val="00803C71"/>
    <w:rsid w:val="00810111"/>
    <w:rsid w:val="00810855"/>
    <w:rsid w:val="00816482"/>
    <w:rsid w:val="00852C68"/>
    <w:rsid w:val="00863378"/>
    <w:rsid w:val="008767F7"/>
    <w:rsid w:val="00937116"/>
    <w:rsid w:val="009478F4"/>
    <w:rsid w:val="0095137E"/>
    <w:rsid w:val="0099214D"/>
    <w:rsid w:val="009933AF"/>
    <w:rsid w:val="009A1940"/>
    <w:rsid w:val="009F5355"/>
    <w:rsid w:val="009F5CEB"/>
    <w:rsid w:val="00A04BDA"/>
    <w:rsid w:val="00A16C8C"/>
    <w:rsid w:val="00A2119C"/>
    <w:rsid w:val="00A449A6"/>
    <w:rsid w:val="00A54278"/>
    <w:rsid w:val="00A63DE7"/>
    <w:rsid w:val="00A74AD0"/>
    <w:rsid w:val="00A91496"/>
    <w:rsid w:val="00AB5913"/>
    <w:rsid w:val="00AD0F98"/>
    <w:rsid w:val="00AE5214"/>
    <w:rsid w:val="00AF67FD"/>
    <w:rsid w:val="00B111D8"/>
    <w:rsid w:val="00B31246"/>
    <w:rsid w:val="00BA3798"/>
    <w:rsid w:val="00BB1C37"/>
    <w:rsid w:val="00BE563A"/>
    <w:rsid w:val="00BF18CA"/>
    <w:rsid w:val="00BF71B6"/>
    <w:rsid w:val="00C02DAC"/>
    <w:rsid w:val="00C064BA"/>
    <w:rsid w:val="00C37788"/>
    <w:rsid w:val="00C83291"/>
    <w:rsid w:val="00C97789"/>
    <w:rsid w:val="00CA599F"/>
    <w:rsid w:val="00CA7AD2"/>
    <w:rsid w:val="00CB0F45"/>
    <w:rsid w:val="00CD13DF"/>
    <w:rsid w:val="00CE42F5"/>
    <w:rsid w:val="00CF46B1"/>
    <w:rsid w:val="00D0204A"/>
    <w:rsid w:val="00D1506B"/>
    <w:rsid w:val="00D560F9"/>
    <w:rsid w:val="00D567A7"/>
    <w:rsid w:val="00D604D9"/>
    <w:rsid w:val="00D8766B"/>
    <w:rsid w:val="00D87AEF"/>
    <w:rsid w:val="00DF0A0C"/>
    <w:rsid w:val="00E00299"/>
    <w:rsid w:val="00E079C3"/>
    <w:rsid w:val="00E07B8E"/>
    <w:rsid w:val="00E21D62"/>
    <w:rsid w:val="00E26D6F"/>
    <w:rsid w:val="00E4494E"/>
    <w:rsid w:val="00F2649B"/>
    <w:rsid w:val="00F470D3"/>
    <w:rsid w:val="00F51F62"/>
    <w:rsid w:val="00F91FEF"/>
    <w:rsid w:val="00FA7ACF"/>
    <w:rsid w:val="00FB32E4"/>
    <w:rsid w:val="00FD6D0F"/>
    <w:rsid w:val="00FF6543"/>
    <w:rsid w:val="11677D5D"/>
    <w:rsid w:val="26E256DE"/>
    <w:rsid w:val="27A41895"/>
    <w:rsid w:val="33C55FCE"/>
    <w:rsid w:val="34621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autoRedefine/>
    <w:semiHidden/>
    <w:unhideWhenUsed/>
    <w:qFormat/>
    <w:uiPriority w:val="99"/>
    <w:pPr>
      <w:spacing w:after="120"/>
      <w:ind w:left="420" w:leftChars="200"/>
    </w:pPr>
  </w:style>
  <w:style w:type="paragraph" w:styleId="4">
    <w:name w:val="footer"/>
    <w:basedOn w:val="1"/>
    <w:link w:val="14"/>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tabs>
        <w:tab w:val="center" w:pos="4153"/>
        <w:tab w:val="right" w:pos="8306"/>
      </w:tabs>
      <w:snapToGrid w:val="0"/>
      <w:jc w:val="center"/>
    </w:pPr>
    <w:rPr>
      <w:sz w:val="18"/>
      <w:szCs w:val="18"/>
    </w:rPr>
  </w:style>
  <w:style w:type="paragraph" w:styleId="6">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2"/>
    <w:basedOn w:val="3"/>
    <w:link w:val="17"/>
    <w:autoRedefine/>
    <w:qFormat/>
    <w:uiPriority w:val="99"/>
    <w:pPr>
      <w:tabs>
        <w:tab w:val="left" w:pos="-1440"/>
      </w:tabs>
      <w:spacing w:after="0" w:line="360" w:lineRule="auto"/>
      <w:ind w:left="176" w:leftChars="0" w:firstLine="420" w:firstLineChars="200"/>
    </w:pPr>
    <w:rPr>
      <w:rFonts w:ascii="仿宋" w:hAnsi="Times New Roman" w:eastAsia="仿宋" w:cs="Times New Roman"/>
      <w:sz w:val="24"/>
      <w:szCs w:val="24"/>
    </w:rPr>
  </w:style>
  <w:style w:type="character" w:styleId="10">
    <w:name w:val="Strong"/>
    <w:basedOn w:val="9"/>
    <w:autoRedefine/>
    <w:qFormat/>
    <w:uiPriority w:val="22"/>
    <w:rPr>
      <w:b/>
      <w:bCs/>
    </w:rPr>
  </w:style>
  <w:style w:type="character" w:customStyle="1" w:styleId="11">
    <w:name w:val="标题 1 字符"/>
    <w:basedOn w:val="9"/>
    <w:link w:val="2"/>
    <w:qFormat/>
    <w:uiPriority w:val="9"/>
    <w:rPr>
      <w:rFonts w:ascii="宋体" w:hAnsi="宋体" w:eastAsia="宋体" w:cs="宋体"/>
      <w:b/>
      <w:bCs/>
      <w:kern w:val="36"/>
      <w:sz w:val="48"/>
      <w:szCs w:val="48"/>
    </w:rPr>
  </w:style>
  <w:style w:type="paragraph" w:styleId="12">
    <w:name w:val="List Paragraph"/>
    <w:basedOn w:val="1"/>
    <w:autoRedefine/>
    <w:qFormat/>
    <w:uiPriority w:val="99"/>
    <w:pPr>
      <w:ind w:firstLine="420" w:firstLineChars="200"/>
    </w:pPr>
    <w:rPr>
      <w:rFonts w:ascii="Calibri" w:hAnsi="Calibri" w:eastAsia="仿宋" w:cs="Times New Roman"/>
      <w:sz w:val="32"/>
      <w:szCs w:val="24"/>
    </w:rPr>
  </w:style>
  <w:style w:type="character" w:customStyle="1" w:styleId="13">
    <w:name w:val="页眉 字符"/>
    <w:basedOn w:val="9"/>
    <w:link w:val="5"/>
    <w:autoRedefine/>
    <w:qFormat/>
    <w:uiPriority w:val="99"/>
    <w:rPr>
      <w:sz w:val="18"/>
      <w:szCs w:val="18"/>
    </w:rPr>
  </w:style>
  <w:style w:type="character" w:customStyle="1" w:styleId="14">
    <w:name w:val="页脚 字符"/>
    <w:basedOn w:val="9"/>
    <w:link w:val="4"/>
    <w:autoRedefine/>
    <w:qFormat/>
    <w:uiPriority w:val="99"/>
    <w:rPr>
      <w:sz w:val="18"/>
      <w:szCs w:val="18"/>
    </w:rPr>
  </w:style>
  <w:style w:type="character" w:customStyle="1" w:styleId="15">
    <w:name w:val="wx_search_keyword_wrap"/>
    <w:basedOn w:val="9"/>
    <w:autoRedefine/>
    <w:qFormat/>
    <w:uiPriority w:val="0"/>
  </w:style>
  <w:style w:type="character" w:customStyle="1" w:styleId="16">
    <w:name w:val="正文文本缩进 字符"/>
    <w:basedOn w:val="9"/>
    <w:link w:val="3"/>
    <w:autoRedefine/>
    <w:semiHidden/>
    <w:qFormat/>
    <w:uiPriority w:val="99"/>
  </w:style>
  <w:style w:type="character" w:customStyle="1" w:styleId="17">
    <w:name w:val="正文文本首行缩进 2 字符"/>
    <w:basedOn w:val="16"/>
    <w:link w:val="7"/>
    <w:autoRedefine/>
    <w:qFormat/>
    <w:uiPriority w:val="99"/>
    <w:rPr>
      <w:rFonts w:ascii="仿宋" w:hAnsi="Times New Roman" w:eastAsia="仿宋"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3555</Words>
  <Characters>4035</Characters>
  <Lines>31</Lines>
  <Paragraphs>8</Paragraphs>
  <TotalTime>2</TotalTime>
  <ScaleCrop>false</ScaleCrop>
  <LinksUpToDate>false</LinksUpToDate>
  <CharactersWithSpaces>4187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2024-05-27T02:06:00Z</dcterms:created>
  <dc:creator>31657</dc:creator>
  <cp:lastModifiedBy>郭磊11</cp:lastModifiedBy>
  <cp:lastPrinted>2024-04-09T02:27:00Z</cp:lastPrinted>
  <dcterms:modified xsi:type="dcterms:W3CDTF">2024-07-03T06:41:18Z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E421AA72F40B4C808519B3DDE5632572_13</vt:lpwstr>
  </property>
</Properties>
</file>