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66D3" w14:textId="35E75FD1" w:rsidR="00A92507" w:rsidRPr="00EA0045" w:rsidRDefault="005044DC" w:rsidP="001A6BEF">
      <w:pPr>
        <w:ind w:firstLine="0"/>
        <w:jc w:val="center"/>
        <w:rPr>
          <w:rFonts w:ascii="微软雅黑" w:eastAsia="微软雅黑" w:hAnsi="微软雅黑" w:cs="宋体"/>
          <w:b/>
          <w:bCs/>
          <w:color w:val="164A84"/>
          <w:kern w:val="0"/>
          <w:sz w:val="32"/>
          <w:szCs w:val="32"/>
        </w:rPr>
      </w:pPr>
      <w:r w:rsidRPr="005044DC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环境、社会及</w:t>
      </w:r>
      <w:r w:rsidR="00B6188B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治理</w:t>
      </w:r>
      <w:r w:rsidRPr="005044DC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(ESG)</w:t>
      </w:r>
      <w:r w:rsidR="00D73AF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管理流程、</w:t>
      </w:r>
      <w:r w:rsidR="00FB19D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战略</w:t>
      </w:r>
      <w:r w:rsidR="00D73AF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规划及</w:t>
      </w:r>
      <w:r w:rsidRPr="005044DC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报告</w:t>
      </w:r>
      <w:r w:rsidR="00FB19D3">
        <w:rPr>
          <w:rFonts w:ascii="微软雅黑" w:eastAsia="微软雅黑" w:hAnsi="微软雅黑" w:cs="宋体" w:hint="eastAsia"/>
          <w:b/>
          <w:bCs/>
          <w:color w:val="164A84"/>
          <w:kern w:val="0"/>
          <w:sz w:val="32"/>
          <w:szCs w:val="32"/>
        </w:rPr>
        <w:t>编制</w:t>
      </w:r>
    </w:p>
    <w:p w14:paraId="255D92B5" w14:textId="77777777" w:rsidR="00DE2154" w:rsidRPr="006048BC" w:rsidRDefault="00AD205B" w:rsidP="00AD6D6B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color w:val="003399"/>
          <w:szCs w:val="21"/>
        </w:rPr>
      </w:pPr>
      <w:r w:rsidRPr="006048BC">
        <w:rPr>
          <w:rStyle w:val="a7"/>
          <w:rFonts w:ascii="微软雅黑" w:eastAsia="微软雅黑" w:hAnsi="微软雅黑"/>
          <w:color w:val="003399"/>
          <w:szCs w:val="21"/>
        </w:rPr>
        <w:t>课程时间</w:t>
      </w:r>
    </w:p>
    <w:p w14:paraId="11D1EC5E" w14:textId="77C8DDC8" w:rsidR="00AD205B" w:rsidRPr="006048BC" w:rsidRDefault="005044DC" w:rsidP="00400070">
      <w:pPr>
        <w:adjustRightInd w:val="0"/>
        <w:snapToGrid w:val="0"/>
        <w:spacing w:line="300" w:lineRule="auto"/>
        <w:ind w:firstLine="0"/>
        <w:jc w:val="left"/>
        <w:rPr>
          <w:rFonts w:ascii="微软雅黑" w:eastAsia="微软雅黑" w:hAnsi="微软雅黑"/>
          <w:b/>
          <w:color w:val="FF0000"/>
          <w:szCs w:val="21"/>
        </w:rPr>
      </w:pPr>
      <w:r w:rsidRPr="006048BC">
        <w:rPr>
          <w:rFonts w:ascii="微软雅黑" w:eastAsia="微软雅黑" w:hAnsi="微软雅黑" w:hint="eastAsia"/>
          <w:kern w:val="0"/>
          <w:szCs w:val="21"/>
        </w:rPr>
        <w:t>2</w:t>
      </w:r>
      <w:r w:rsidR="00AD205B" w:rsidRPr="006048BC">
        <w:rPr>
          <w:rFonts w:ascii="微软雅黑" w:eastAsia="微软雅黑" w:hAnsi="微软雅黑"/>
          <w:kern w:val="0"/>
          <w:szCs w:val="21"/>
        </w:rPr>
        <w:t>天（第一天9:30-16:30；第二天9:00-16:00）</w:t>
      </w:r>
    </w:p>
    <w:p w14:paraId="3D6597FB" w14:textId="77777777" w:rsidR="00AD205B" w:rsidRDefault="00AD205B" w:rsidP="00AD6D6B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color w:val="003399"/>
          <w:szCs w:val="21"/>
        </w:rPr>
      </w:pPr>
      <w:r w:rsidRPr="006048BC">
        <w:rPr>
          <w:rStyle w:val="a7"/>
          <w:rFonts w:ascii="微软雅黑" w:eastAsia="微软雅黑" w:hAnsi="微软雅黑"/>
          <w:color w:val="003399"/>
          <w:szCs w:val="21"/>
        </w:rPr>
        <w:t>培训费用</w:t>
      </w:r>
    </w:p>
    <w:p w14:paraId="7FCF475E" w14:textId="6F214B7A" w:rsidR="00074D0E" w:rsidRPr="0015055E" w:rsidRDefault="003F32D6" w:rsidP="00AD6D6B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b w:val="0"/>
          <w:bCs w:val="0"/>
          <w:color w:val="FF0000"/>
          <w:szCs w:val="21"/>
          <w:u w:val="none"/>
        </w:rPr>
      </w:pPr>
      <w:r w:rsidRPr="0015055E">
        <w:rPr>
          <w:rStyle w:val="a7"/>
          <w:rFonts w:ascii="微软雅黑" w:eastAsia="微软雅黑" w:hAnsi="微软雅黑" w:hint="eastAsia"/>
          <w:b w:val="0"/>
          <w:bCs w:val="0"/>
          <w:color w:val="FF0000"/>
          <w:szCs w:val="21"/>
          <w:u w:val="none"/>
        </w:rPr>
        <w:t>3500元</w:t>
      </w:r>
      <w:r w:rsidR="0015055E">
        <w:rPr>
          <w:rStyle w:val="a7"/>
          <w:rFonts w:ascii="微软雅黑" w:eastAsia="微软雅黑" w:hAnsi="微软雅黑" w:hint="eastAsia"/>
          <w:b w:val="0"/>
          <w:bCs w:val="0"/>
          <w:color w:val="FF0000"/>
          <w:szCs w:val="21"/>
          <w:u w:val="none"/>
        </w:rPr>
        <w:t>/人</w:t>
      </w:r>
    </w:p>
    <w:p w14:paraId="59F4EEB6" w14:textId="77777777" w:rsidR="002F27B6" w:rsidRPr="006048BC" w:rsidRDefault="00AD6D6B" w:rsidP="00AD6D6B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color w:val="003399"/>
          <w:szCs w:val="21"/>
        </w:rPr>
      </w:pPr>
      <w:r w:rsidRPr="006048BC">
        <w:rPr>
          <w:rStyle w:val="a7"/>
          <w:rFonts w:ascii="微软雅黑" w:eastAsia="微软雅黑" w:hAnsi="微软雅黑"/>
          <w:color w:val="003399"/>
          <w:szCs w:val="21"/>
        </w:rPr>
        <w:t>开课地点</w:t>
      </w:r>
    </w:p>
    <w:p w14:paraId="2476998E" w14:textId="487CA4F3" w:rsidR="00CD6DBC" w:rsidRPr="0015055E" w:rsidRDefault="00B476D6" w:rsidP="00BB5565">
      <w:pPr>
        <w:tabs>
          <w:tab w:val="left" w:pos="3720"/>
          <w:tab w:val="right" w:pos="9746"/>
        </w:tabs>
        <w:adjustRightInd w:val="0"/>
        <w:snapToGrid w:val="0"/>
        <w:spacing w:line="300" w:lineRule="auto"/>
        <w:ind w:firstLine="0"/>
        <w:jc w:val="left"/>
        <w:rPr>
          <w:rFonts w:ascii="微软雅黑" w:eastAsia="微软雅黑" w:hAnsi="微软雅黑"/>
          <w:b/>
          <w:color w:val="0070C0"/>
          <w:sz w:val="20"/>
          <w:szCs w:val="20"/>
        </w:rPr>
      </w:pPr>
      <w:r w:rsidRPr="0015055E">
        <w:rPr>
          <w:rFonts w:ascii="微软雅黑" w:eastAsia="微软雅黑" w:hAnsi="微软雅黑"/>
          <w:sz w:val="20"/>
          <w:szCs w:val="20"/>
        </w:rPr>
        <w:t>苏州：</w:t>
      </w:r>
      <w:r w:rsidRPr="0015055E">
        <w:rPr>
          <w:rFonts w:ascii="微软雅黑" w:eastAsia="微软雅黑" w:hAnsi="微软雅黑"/>
          <w:bCs/>
          <w:sz w:val="20"/>
          <w:szCs w:val="20"/>
        </w:rPr>
        <w:t>姑苏区宝带西路1177号</w:t>
      </w:r>
      <w:proofErr w:type="gramStart"/>
      <w:r w:rsidRPr="0015055E">
        <w:rPr>
          <w:rFonts w:ascii="微软雅黑" w:eastAsia="微软雅黑" w:hAnsi="微软雅黑"/>
          <w:bCs/>
          <w:sz w:val="20"/>
          <w:szCs w:val="20"/>
        </w:rPr>
        <w:t>世茂广场</w:t>
      </w:r>
      <w:proofErr w:type="gramEnd"/>
      <w:r w:rsidRPr="0015055E">
        <w:rPr>
          <w:rFonts w:ascii="微软雅黑" w:eastAsia="微软雅黑" w:hAnsi="微软雅黑"/>
          <w:bCs/>
          <w:sz w:val="20"/>
          <w:szCs w:val="20"/>
        </w:rPr>
        <w:t>I幢1211室（地铁3号线新郭站</w:t>
      </w:r>
      <w:r w:rsidR="00E92E6B" w:rsidRPr="0015055E">
        <w:rPr>
          <w:rFonts w:ascii="微软雅黑" w:eastAsia="微软雅黑" w:hAnsi="微软雅黑"/>
          <w:bCs/>
          <w:sz w:val="20"/>
          <w:szCs w:val="20"/>
        </w:rPr>
        <w:t>2出口直达</w:t>
      </w:r>
      <w:r w:rsidRPr="0015055E">
        <w:rPr>
          <w:rFonts w:ascii="微软雅黑" w:eastAsia="微软雅黑" w:hAnsi="微软雅黑"/>
          <w:bCs/>
          <w:sz w:val="20"/>
          <w:szCs w:val="20"/>
        </w:rPr>
        <w:t>）</w:t>
      </w:r>
    </w:p>
    <w:p w14:paraId="5BA505FD" w14:textId="77777777" w:rsidR="001875B3" w:rsidRDefault="00AD6D6B" w:rsidP="00AD6D6B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color w:val="003399"/>
          <w:szCs w:val="21"/>
        </w:rPr>
      </w:pPr>
      <w:r w:rsidRPr="006048BC">
        <w:rPr>
          <w:rStyle w:val="a7"/>
          <w:rFonts w:ascii="微软雅黑" w:eastAsia="微软雅黑" w:hAnsi="微软雅黑"/>
          <w:color w:val="003399"/>
          <w:szCs w:val="21"/>
        </w:rPr>
        <w:t>课程咨询</w:t>
      </w:r>
    </w:p>
    <w:p w14:paraId="01879821" w14:textId="59F9EE6B" w:rsidR="003F32D6" w:rsidRPr="0015055E" w:rsidRDefault="003F32D6" w:rsidP="003F32D6">
      <w:pPr>
        <w:adjustRightInd w:val="0"/>
        <w:snapToGrid w:val="0"/>
        <w:spacing w:line="300" w:lineRule="auto"/>
        <w:ind w:firstLine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深圳：罗老师  13825249181  邮箱：</w:t>
      </w:r>
      <w:r w:rsidRPr="0015055E">
        <w:rPr>
          <w:rStyle w:val="a9"/>
          <w:rFonts w:hint="eastAsia"/>
          <w:sz w:val="20"/>
          <w:szCs w:val="20"/>
        </w:rPr>
        <w:t>lisa@kcf.com.cn</w:t>
      </w:r>
    </w:p>
    <w:p w14:paraId="49E3D55F" w14:textId="3CB2F827" w:rsidR="003F32D6" w:rsidRPr="0015055E" w:rsidRDefault="003F32D6" w:rsidP="003F32D6">
      <w:pPr>
        <w:adjustRightInd w:val="0"/>
        <w:snapToGrid w:val="0"/>
        <w:spacing w:line="300" w:lineRule="auto"/>
        <w:ind w:firstLine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上海：魏老师  13825247665  邮箱：</w:t>
      </w:r>
      <w:r w:rsidRPr="0015055E">
        <w:rPr>
          <w:rStyle w:val="a9"/>
          <w:rFonts w:hint="eastAsia"/>
          <w:sz w:val="20"/>
          <w:szCs w:val="20"/>
        </w:rPr>
        <w:t>wt@kcf.com.cn </w:t>
      </w:r>
    </w:p>
    <w:p w14:paraId="07407D3E" w14:textId="0747E6F1" w:rsidR="003F32D6" w:rsidRPr="0015055E" w:rsidRDefault="003F32D6" w:rsidP="003F32D6">
      <w:pPr>
        <w:adjustRightInd w:val="0"/>
        <w:snapToGrid w:val="0"/>
        <w:spacing w:line="300" w:lineRule="auto"/>
        <w:ind w:firstLine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苏州：刘老师  13913134747  邮箱：</w:t>
      </w:r>
      <w:hyperlink r:id="rId7" w:history="1">
        <w:r w:rsidRPr="0015055E">
          <w:rPr>
            <w:rStyle w:val="a9"/>
            <w:rFonts w:ascii="微软雅黑" w:eastAsia="微软雅黑" w:hAnsi="微软雅黑" w:hint="eastAsia"/>
            <w:bCs/>
            <w:sz w:val="20"/>
            <w:szCs w:val="20"/>
          </w:rPr>
          <w:t>cs07suz@kcf.com.cn</w:t>
        </w:r>
      </w:hyperlink>
    </w:p>
    <w:p w14:paraId="583DAA38" w14:textId="1D52A995" w:rsidR="007E02BD" w:rsidRPr="006048BC" w:rsidRDefault="007E02BD" w:rsidP="003F32D6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color w:val="003399"/>
          <w:szCs w:val="21"/>
        </w:rPr>
      </w:pPr>
      <w:r w:rsidRPr="006048BC">
        <w:rPr>
          <w:rStyle w:val="a7"/>
          <w:rFonts w:ascii="微软雅黑" w:eastAsia="微软雅黑" w:hAnsi="微软雅黑"/>
          <w:color w:val="003399"/>
          <w:szCs w:val="21"/>
        </w:rPr>
        <w:t>缴费方式</w:t>
      </w:r>
    </w:p>
    <w:p w14:paraId="000315BE" w14:textId="22B10CD4" w:rsidR="00F01BC1" w:rsidRDefault="007E02BD" w:rsidP="00F01BC1">
      <w:pPr>
        <w:adjustRightInd w:val="0"/>
        <w:snapToGrid w:val="0"/>
        <w:spacing w:line="300" w:lineRule="auto"/>
        <w:ind w:firstLine="0"/>
        <w:rPr>
          <w:rFonts w:eastAsia="微软雅黑"/>
          <w:b/>
          <w:color w:val="FF0000"/>
          <w:sz w:val="20"/>
          <w:szCs w:val="20"/>
        </w:rPr>
      </w:pPr>
      <w:r w:rsidRPr="00EA0045">
        <w:rPr>
          <w:rFonts w:eastAsia="微软雅黑"/>
          <w:b/>
          <w:color w:val="FF0000"/>
          <w:sz w:val="20"/>
          <w:szCs w:val="20"/>
        </w:rPr>
        <w:t>开课前一周通过银行账户转账，特殊情况下开课当天以现金方式缴纳费用。</w:t>
      </w:r>
    </w:p>
    <w:p w14:paraId="36925684" w14:textId="5605FF28" w:rsidR="0015055E" w:rsidRPr="003A4908" w:rsidRDefault="00FB19D3" w:rsidP="008178D4">
      <w:pPr>
        <w:adjustRightInd w:val="0"/>
        <w:snapToGrid w:val="0"/>
        <w:spacing w:line="300" w:lineRule="auto"/>
        <w:ind w:firstLine="0"/>
        <w:rPr>
          <w:rFonts w:ascii="微软雅黑" w:eastAsia="微软雅黑" w:hAnsi="微软雅黑"/>
          <w:b/>
          <w:smallCaps/>
          <w:color w:val="003399"/>
          <w:spacing w:val="5"/>
          <w:szCs w:val="21"/>
          <w:u w:val="single"/>
        </w:rPr>
      </w:pPr>
      <w:r w:rsidRPr="0015055E">
        <w:rPr>
          <w:rStyle w:val="a7"/>
          <w:rFonts w:ascii="微软雅黑" w:eastAsia="微软雅黑" w:hAnsi="微软雅黑"/>
          <w:bCs w:val="0"/>
          <w:color w:val="003399"/>
          <w:szCs w:val="21"/>
        </w:rPr>
        <w:t>课程背景：</w:t>
      </w:r>
      <w:r w:rsidR="000D7681" w:rsidRPr="00756F08">
        <w:rPr>
          <w:rFonts w:eastAsia="微软雅黑"/>
          <w:noProof/>
          <w:kern w:val="0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21852DC5" wp14:editId="6D1781CB">
            <wp:simplePos x="0" y="0"/>
            <wp:positionH relativeFrom="column">
              <wp:posOffset>3052445</wp:posOffset>
            </wp:positionH>
            <wp:positionV relativeFrom="paragraph">
              <wp:posOffset>95250</wp:posOffset>
            </wp:positionV>
            <wp:extent cx="3195320" cy="1447800"/>
            <wp:effectExtent l="19050" t="19050" r="5080" b="0"/>
            <wp:wrapTight wrapText="bothSides">
              <wp:wrapPolygon edited="0">
                <wp:start x="-129" y="-284"/>
                <wp:lineTo x="-129" y="21600"/>
                <wp:lineTo x="21634" y="21600"/>
                <wp:lineTo x="21634" y="-284"/>
                <wp:lineTo x="-129" y="-284"/>
              </wp:wrapPolygon>
            </wp:wrapTight>
            <wp:docPr id="17441894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447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DCA11" w14:textId="77777777" w:rsidR="0015055E" w:rsidRDefault="0015055E" w:rsidP="0015055E">
      <w:pPr>
        <w:adjustRightInd w:val="0"/>
        <w:snapToGrid w:val="0"/>
        <w:spacing w:line="300" w:lineRule="auto"/>
        <w:ind w:firstLineChars="200" w:firstLine="400"/>
        <w:rPr>
          <w:rFonts w:eastAsia="微软雅黑"/>
          <w:kern w:val="0"/>
          <w:sz w:val="20"/>
          <w:szCs w:val="20"/>
        </w:rPr>
      </w:pPr>
      <w:r w:rsidRPr="0015055E">
        <w:rPr>
          <w:rFonts w:eastAsia="微软雅黑" w:hint="eastAsia"/>
          <w:kern w:val="0"/>
          <w:sz w:val="20"/>
          <w:szCs w:val="20"/>
        </w:rPr>
        <w:t xml:space="preserve">ESG </w:t>
      </w:r>
      <w:r w:rsidRPr="0015055E">
        <w:rPr>
          <w:rFonts w:eastAsia="微软雅黑" w:hint="eastAsia"/>
          <w:kern w:val="0"/>
          <w:sz w:val="20"/>
          <w:szCs w:val="20"/>
        </w:rPr>
        <w:t>作为涵盖环境、社会和治理的企业管理理念，已成为各国实现可持续发展社会的重要途径和抓手。投资机构、监管部门、学术界以及重要客户对企业的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管理水平和绩效日益关注，对企业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信息的披露要求也逐年升级。</w:t>
      </w:r>
    </w:p>
    <w:p w14:paraId="554C693A" w14:textId="77777777" w:rsidR="003A4908" w:rsidRPr="003A4908" w:rsidRDefault="003A4908" w:rsidP="003A4908">
      <w:pPr>
        <w:adjustRightInd w:val="0"/>
        <w:snapToGrid w:val="0"/>
        <w:spacing w:line="300" w:lineRule="auto"/>
        <w:ind w:firstLineChars="200" w:firstLine="400"/>
        <w:rPr>
          <w:rFonts w:eastAsia="微软雅黑"/>
          <w:kern w:val="0"/>
          <w:sz w:val="20"/>
          <w:szCs w:val="20"/>
        </w:rPr>
      </w:pPr>
      <w:r w:rsidRPr="003A4908">
        <w:rPr>
          <w:rFonts w:eastAsia="微软雅黑" w:hint="eastAsia"/>
          <w:kern w:val="0"/>
          <w:sz w:val="20"/>
          <w:szCs w:val="20"/>
        </w:rPr>
        <w:t>如何编制一份高质量的</w:t>
      </w:r>
      <w:r w:rsidRPr="003A4908">
        <w:rPr>
          <w:rFonts w:eastAsia="微软雅黑" w:hint="eastAsia"/>
          <w:kern w:val="0"/>
          <w:sz w:val="20"/>
          <w:szCs w:val="20"/>
        </w:rPr>
        <w:t>ESG</w:t>
      </w:r>
      <w:r w:rsidRPr="003A4908">
        <w:rPr>
          <w:rFonts w:eastAsia="微软雅黑" w:hint="eastAsia"/>
          <w:kern w:val="0"/>
          <w:sz w:val="20"/>
          <w:szCs w:val="20"/>
        </w:rPr>
        <w:t>报告，使其不仅具备高度可读性，又能突出企业特点，还便于与利益相关方沟通，已成为企业从业人员考虑的重点之一。</w:t>
      </w:r>
    </w:p>
    <w:p w14:paraId="74D68A5F" w14:textId="6F6DB108" w:rsidR="003A4908" w:rsidRPr="0015055E" w:rsidRDefault="003A4908" w:rsidP="003A4908">
      <w:pPr>
        <w:adjustRightInd w:val="0"/>
        <w:snapToGrid w:val="0"/>
        <w:spacing w:line="300" w:lineRule="auto"/>
        <w:ind w:firstLineChars="200" w:firstLine="400"/>
        <w:rPr>
          <w:rFonts w:eastAsia="微软雅黑"/>
          <w:kern w:val="0"/>
          <w:sz w:val="20"/>
          <w:szCs w:val="20"/>
        </w:rPr>
      </w:pPr>
      <w:r w:rsidRPr="003A4908">
        <w:rPr>
          <w:rFonts w:eastAsia="微软雅黑" w:hint="eastAsia"/>
          <w:kern w:val="0"/>
          <w:sz w:val="20"/>
          <w:szCs w:val="20"/>
        </w:rPr>
        <w:t>GRI</w:t>
      </w:r>
      <w:r w:rsidRPr="003A4908">
        <w:rPr>
          <w:rFonts w:eastAsia="微软雅黑" w:hint="eastAsia"/>
          <w:kern w:val="0"/>
          <w:sz w:val="20"/>
          <w:szCs w:val="20"/>
        </w:rPr>
        <w:t>是被广泛采纳的可持续报告编制标准。目前，全球</w:t>
      </w:r>
      <w:r w:rsidRPr="003A4908">
        <w:rPr>
          <w:rFonts w:eastAsia="微软雅黑" w:hint="eastAsia"/>
          <w:kern w:val="0"/>
          <w:sz w:val="20"/>
          <w:szCs w:val="20"/>
        </w:rPr>
        <w:t>14000</w:t>
      </w:r>
      <w:r w:rsidRPr="003A4908">
        <w:rPr>
          <w:rFonts w:eastAsia="微软雅黑" w:hint="eastAsia"/>
          <w:kern w:val="0"/>
          <w:sz w:val="20"/>
          <w:szCs w:val="20"/>
        </w:rPr>
        <w:t>多家组织选择</w:t>
      </w:r>
      <w:r w:rsidRPr="003A4908">
        <w:rPr>
          <w:rFonts w:eastAsia="微软雅黑" w:hint="eastAsia"/>
          <w:kern w:val="0"/>
          <w:sz w:val="20"/>
          <w:szCs w:val="20"/>
        </w:rPr>
        <w:t>GRI</w:t>
      </w:r>
      <w:r w:rsidRPr="003A4908">
        <w:rPr>
          <w:rFonts w:eastAsia="微软雅黑" w:hint="eastAsia"/>
          <w:kern w:val="0"/>
          <w:sz w:val="20"/>
          <w:szCs w:val="20"/>
        </w:rPr>
        <w:t>标准披露组织在可持续方面的</w:t>
      </w:r>
      <w:r w:rsidRPr="003A4908">
        <w:rPr>
          <w:rFonts w:eastAsia="微软雅黑" w:hint="eastAsia"/>
          <w:kern w:val="0"/>
          <w:sz w:val="20"/>
          <w:szCs w:val="20"/>
        </w:rPr>
        <w:t>ESG</w:t>
      </w:r>
      <w:r w:rsidRPr="003A4908">
        <w:rPr>
          <w:rFonts w:eastAsia="微软雅黑" w:hint="eastAsia"/>
          <w:kern w:val="0"/>
          <w:sz w:val="20"/>
          <w:szCs w:val="20"/>
        </w:rPr>
        <w:t>战略，行动，以及绩效指标。选用</w:t>
      </w:r>
      <w:r w:rsidRPr="003A4908">
        <w:rPr>
          <w:rFonts w:eastAsia="微软雅黑" w:hint="eastAsia"/>
          <w:kern w:val="0"/>
          <w:sz w:val="20"/>
          <w:szCs w:val="20"/>
        </w:rPr>
        <w:t>GRI</w:t>
      </w:r>
      <w:r w:rsidRPr="003A4908">
        <w:rPr>
          <w:rFonts w:eastAsia="微软雅黑" w:hint="eastAsia"/>
          <w:kern w:val="0"/>
          <w:sz w:val="20"/>
          <w:szCs w:val="20"/>
        </w:rPr>
        <w:t>标准编制</w:t>
      </w:r>
      <w:r w:rsidRPr="003A4908">
        <w:rPr>
          <w:rFonts w:eastAsia="微软雅黑" w:hint="eastAsia"/>
          <w:kern w:val="0"/>
          <w:sz w:val="20"/>
          <w:szCs w:val="20"/>
        </w:rPr>
        <w:t>ESG</w:t>
      </w:r>
      <w:r w:rsidRPr="003A4908">
        <w:rPr>
          <w:rFonts w:eastAsia="微软雅黑" w:hint="eastAsia"/>
          <w:kern w:val="0"/>
          <w:sz w:val="20"/>
          <w:szCs w:val="20"/>
        </w:rPr>
        <w:t>报告可以提升企业可持续发展相关信息披露的透明性和可信性。</w:t>
      </w:r>
    </w:p>
    <w:p w14:paraId="3756F085" w14:textId="20AB3D1C" w:rsidR="0015055E" w:rsidRDefault="0015055E" w:rsidP="003A4908">
      <w:pPr>
        <w:adjustRightInd w:val="0"/>
        <w:snapToGrid w:val="0"/>
        <w:spacing w:line="300" w:lineRule="auto"/>
        <w:ind w:firstLineChars="200" w:firstLine="400"/>
        <w:rPr>
          <w:rFonts w:eastAsia="微软雅黑"/>
          <w:kern w:val="0"/>
          <w:sz w:val="20"/>
          <w:szCs w:val="20"/>
        </w:rPr>
      </w:pPr>
      <w:r w:rsidRPr="0015055E">
        <w:rPr>
          <w:rFonts w:eastAsia="微软雅黑" w:hint="eastAsia"/>
          <w:kern w:val="0"/>
          <w:sz w:val="20"/>
          <w:szCs w:val="20"/>
        </w:rPr>
        <w:t>本课程旨在为企业推行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实践、编制</w:t>
      </w:r>
      <w:r w:rsidRPr="0015055E">
        <w:rPr>
          <w:rFonts w:eastAsia="微软雅黑" w:hint="eastAsia"/>
          <w:kern w:val="0"/>
          <w:sz w:val="20"/>
          <w:szCs w:val="20"/>
        </w:rPr>
        <w:t>GRI</w:t>
      </w:r>
      <w:r w:rsidRPr="0015055E">
        <w:rPr>
          <w:rFonts w:eastAsia="微软雅黑" w:hint="eastAsia"/>
          <w:kern w:val="0"/>
          <w:sz w:val="20"/>
          <w:szCs w:val="20"/>
        </w:rPr>
        <w:t>报告提供必要的知识和指南。课程主要内容包括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发展及演变，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推行步骤与实施要点，</w:t>
      </w:r>
      <w:r w:rsidRPr="0015055E">
        <w:rPr>
          <w:rFonts w:eastAsia="微软雅黑" w:hint="eastAsia"/>
          <w:kern w:val="0"/>
          <w:sz w:val="20"/>
          <w:szCs w:val="20"/>
        </w:rPr>
        <w:t>ESG</w:t>
      </w:r>
      <w:r w:rsidRPr="0015055E">
        <w:rPr>
          <w:rFonts w:eastAsia="微软雅黑" w:hint="eastAsia"/>
          <w:kern w:val="0"/>
          <w:sz w:val="20"/>
          <w:szCs w:val="20"/>
        </w:rPr>
        <w:t>披露和评级体系框架，以及</w:t>
      </w:r>
      <w:r w:rsidRPr="0015055E">
        <w:rPr>
          <w:rFonts w:eastAsia="微软雅黑" w:hint="eastAsia"/>
          <w:kern w:val="0"/>
          <w:sz w:val="20"/>
          <w:szCs w:val="20"/>
        </w:rPr>
        <w:t>GRI</w:t>
      </w:r>
      <w:r w:rsidRPr="0015055E">
        <w:rPr>
          <w:rFonts w:eastAsia="微软雅黑" w:hint="eastAsia"/>
          <w:kern w:val="0"/>
          <w:sz w:val="20"/>
          <w:szCs w:val="20"/>
        </w:rPr>
        <w:t>报告编制</w:t>
      </w:r>
      <w:proofErr w:type="gramStart"/>
      <w:r w:rsidRPr="0015055E">
        <w:rPr>
          <w:rFonts w:eastAsia="微软雅黑" w:hint="eastAsia"/>
          <w:kern w:val="0"/>
          <w:sz w:val="20"/>
          <w:szCs w:val="20"/>
        </w:rPr>
        <w:t>良好实践</w:t>
      </w:r>
      <w:proofErr w:type="gramEnd"/>
      <w:r w:rsidRPr="0015055E">
        <w:rPr>
          <w:rFonts w:eastAsia="微软雅黑" w:hint="eastAsia"/>
          <w:kern w:val="0"/>
          <w:sz w:val="20"/>
          <w:szCs w:val="20"/>
        </w:rPr>
        <w:t>等。</w:t>
      </w:r>
    </w:p>
    <w:p w14:paraId="16118FD1" w14:textId="41A32DF8" w:rsidR="00FB19D3" w:rsidRPr="00164B76" w:rsidRDefault="00FB19D3" w:rsidP="008178D4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bCs w:val="0"/>
          <w:color w:val="003399"/>
          <w:szCs w:val="21"/>
        </w:rPr>
      </w:pPr>
      <w:r w:rsidRPr="00164B76">
        <w:rPr>
          <w:rStyle w:val="a7"/>
          <w:rFonts w:ascii="微软雅黑" w:eastAsia="微软雅黑" w:hAnsi="微软雅黑"/>
          <w:bCs w:val="0"/>
          <w:color w:val="003399"/>
          <w:szCs w:val="21"/>
        </w:rPr>
        <w:t>课程收益：</w:t>
      </w:r>
    </w:p>
    <w:p w14:paraId="3F10B749" w14:textId="6ACE05F6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bookmarkStart w:id="0" w:name="_Hlk177990970"/>
      <w:r w:rsidRPr="0015055E">
        <w:rPr>
          <w:rFonts w:ascii="微软雅黑" w:eastAsia="微软雅黑" w:hAnsi="微软雅黑" w:hint="eastAsia"/>
          <w:bCs/>
          <w:sz w:val="20"/>
          <w:szCs w:val="20"/>
        </w:rPr>
        <w:t>描述ESG理念的源起和发展</w:t>
      </w:r>
      <w:r w:rsidR="003A4908">
        <w:rPr>
          <w:rFonts w:ascii="微软雅黑" w:eastAsia="微软雅黑" w:hAnsi="微软雅黑" w:hint="eastAsia"/>
          <w:bCs/>
          <w:sz w:val="20"/>
          <w:szCs w:val="20"/>
        </w:rPr>
        <w:t>，国内外趋势；</w:t>
      </w:r>
    </w:p>
    <w:p w14:paraId="7F54491A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了解ESG管理框架和实施流程；</w:t>
      </w:r>
    </w:p>
    <w:p w14:paraId="5F8565A0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应用结构化的方法确定实质性ESG议题；</w:t>
      </w:r>
    </w:p>
    <w:p w14:paraId="1B989CA5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lastRenderedPageBreak/>
        <w:t>掌握ESG议题风险和机遇及影响评估；</w:t>
      </w:r>
    </w:p>
    <w:p w14:paraId="48BE2089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制定与业务战略一致的ESG目标和战略；</w:t>
      </w:r>
    </w:p>
    <w:p w14:paraId="607815A8" w14:textId="4778CE30" w:rsidR="003A4908" w:rsidRPr="003A4908" w:rsidRDefault="003A4908" w:rsidP="003A4908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3A4908">
        <w:rPr>
          <w:rFonts w:ascii="微软雅黑" w:eastAsia="微软雅黑" w:hAnsi="微软雅黑" w:hint="eastAsia"/>
          <w:bCs/>
          <w:sz w:val="20"/>
          <w:szCs w:val="20"/>
        </w:rPr>
        <w:t>依据国际标准GRI进行报告策划、编制ESG报告，提升披露水平</w:t>
      </w:r>
      <w:r>
        <w:rPr>
          <w:rFonts w:ascii="微软雅黑" w:eastAsia="微软雅黑" w:hAnsi="微软雅黑" w:hint="eastAsia"/>
          <w:bCs/>
          <w:sz w:val="20"/>
          <w:szCs w:val="20"/>
        </w:rPr>
        <w:t>。</w:t>
      </w:r>
    </w:p>
    <w:bookmarkEnd w:id="0"/>
    <w:p w14:paraId="06CC80BE" w14:textId="16745E6A" w:rsidR="0096161B" w:rsidRPr="0096161B" w:rsidRDefault="0096161B" w:rsidP="00F01BC1">
      <w:pPr>
        <w:adjustRightInd w:val="0"/>
        <w:snapToGrid w:val="0"/>
        <w:spacing w:line="300" w:lineRule="auto"/>
        <w:ind w:firstLine="0"/>
        <w:rPr>
          <w:rStyle w:val="a7"/>
          <w:rFonts w:ascii="微软雅黑" w:eastAsia="微软雅黑" w:hAnsi="微软雅黑"/>
          <w:bCs w:val="0"/>
          <w:smallCaps w:val="0"/>
          <w:color w:val="003399"/>
          <w:szCs w:val="21"/>
        </w:rPr>
      </w:pPr>
      <w:r w:rsidRPr="0096161B">
        <w:rPr>
          <w:rStyle w:val="a7"/>
          <w:rFonts w:ascii="微软雅黑" w:eastAsia="微软雅黑" w:hAnsi="微软雅黑" w:hint="eastAsia"/>
          <w:bCs w:val="0"/>
          <w:smallCaps w:val="0"/>
          <w:color w:val="003399"/>
          <w:szCs w:val="21"/>
        </w:rPr>
        <w:t>培训对象：</w:t>
      </w:r>
    </w:p>
    <w:p w14:paraId="360BB16D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bookmarkStart w:id="1" w:name="_Hlk177991119"/>
      <w:r w:rsidRPr="0015055E">
        <w:rPr>
          <w:rFonts w:ascii="微软雅黑" w:eastAsia="微软雅黑" w:hAnsi="微软雅黑" w:hint="eastAsia"/>
          <w:bCs/>
          <w:sz w:val="20"/>
          <w:szCs w:val="20"/>
        </w:rPr>
        <w:t>企业战略规划人员</w:t>
      </w:r>
    </w:p>
    <w:p w14:paraId="79A27158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可持续发展人员</w:t>
      </w:r>
    </w:p>
    <w:p w14:paraId="67E3397F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风险内控管理人员</w:t>
      </w:r>
    </w:p>
    <w:p w14:paraId="1321B925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财务管理人员</w:t>
      </w:r>
    </w:p>
    <w:p w14:paraId="0FC88B86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EHS管理人员，以及</w:t>
      </w:r>
    </w:p>
    <w:p w14:paraId="1B9D474F" w14:textId="77777777" w:rsidR="0015055E" w:rsidRPr="0015055E" w:rsidRDefault="0015055E" w:rsidP="0015055E">
      <w:pPr>
        <w:pStyle w:val="a8"/>
        <w:numPr>
          <w:ilvl w:val="0"/>
          <w:numId w:val="21"/>
        </w:numPr>
        <w:adjustRightInd w:val="0"/>
        <w:snapToGrid w:val="0"/>
        <w:spacing w:line="300" w:lineRule="auto"/>
        <w:ind w:firstLineChars="0"/>
        <w:rPr>
          <w:rFonts w:ascii="微软雅黑" w:eastAsia="微软雅黑" w:hAnsi="微软雅黑"/>
          <w:bCs/>
          <w:sz w:val="20"/>
          <w:szCs w:val="20"/>
        </w:rPr>
      </w:pPr>
      <w:r w:rsidRPr="0015055E">
        <w:rPr>
          <w:rFonts w:ascii="微软雅黑" w:eastAsia="微软雅黑" w:hAnsi="微软雅黑" w:hint="eastAsia"/>
          <w:bCs/>
          <w:sz w:val="20"/>
          <w:szCs w:val="20"/>
        </w:rPr>
        <w:t>其他有志参与ESG管理的人员</w:t>
      </w:r>
    </w:p>
    <w:bookmarkEnd w:id="1"/>
    <w:p w14:paraId="5B7246F1" w14:textId="1D95334E" w:rsidR="0015055E" w:rsidRPr="00133C57" w:rsidRDefault="00FB19D3" w:rsidP="00FB19D3">
      <w:pPr>
        <w:widowControl/>
        <w:adjustRightInd w:val="0"/>
        <w:snapToGrid w:val="0"/>
        <w:spacing w:line="300" w:lineRule="auto"/>
        <w:ind w:firstLine="0"/>
        <w:jc w:val="left"/>
        <w:rPr>
          <w:rFonts w:eastAsia="微软雅黑"/>
          <w:color w:val="0070C0"/>
          <w:kern w:val="0"/>
          <w:sz w:val="20"/>
          <w:szCs w:val="20"/>
        </w:rPr>
      </w:pPr>
      <w:r w:rsidRPr="00FB19D3">
        <w:rPr>
          <w:rFonts w:eastAsia="微软雅黑"/>
          <w:b/>
          <w:bCs/>
          <w:color w:val="0070C0"/>
          <w:kern w:val="0"/>
          <w:sz w:val="20"/>
          <w:szCs w:val="20"/>
        </w:rPr>
        <w:t>【课程大纲】</w:t>
      </w:r>
    </w:p>
    <w:p w14:paraId="42904126" w14:textId="4EDA72CC" w:rsidR="0015055E" w:rsidRPr="0015055E" w:rsidRDefault="00864B1C" w:rsidP="00133C57">
      <w:pPr>
        <w:adjustRightInd w:val="0"/>
        <w:snapToGrid w:val="0"/>
        <w:spacing w:line="300" w:lineRule="auto"/>
        <w:ind w:firstLineChars="200" w:firstLine="400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</w:t>
      </w:r>
      <w:proofErr w:type="gramStart"/>
      <w:r w:rsidRPr="00133C57">
        <w:rPr>
          <w:rFonts w:eastAsia="微软雅黑"/>
          <w:b/>
          <w:bCs/>
          <w:color w:val="0070C0"/>
          <w:sz w:val="20"/>
          <w:szCs w:val="20"/>
        </w:rPr>
        <w:t>一</w:t>
      </w:r>
      <w:proofErr w:type="gramEnd"/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 </w:t>
      </w:r>
      <w:bookmarkStart w:id="2" w:name="_Hlk177991034"/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企业推行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ESG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的意义</w:t>
      </w:r>
    </w:p>
    <w:bookmarkEnd w:id="2"/>
    <w:p w14:paraId="33202B58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概念的核心内涵</w:t>
      </w:r>
    </w:p>
    <w:p w14:paraId="742B8EF4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企业关注</w:t>
      </w: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议题的收益</w:t>
      </w:r>
    </w:p>
    <w:p w14:paraId="46182B7D" w14:textId="2D72D0DB" w:rsidR="0015055E" w:rsidRPr="0015055E" w:rsidRDefault="00864B1C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bookmarkStart w:id="3" w:name="_Hlk177984653"/>
      <w:r w:rsidRPr="00133C57">
        <w:rPr>
          <w:rFonts w:eastAsia="微软雅黑"/>
          <w:b/>
          <w:bCs/>
          <w:color w:val="0070C0"/>
          <w:sz w:val="20"/>
          <w:szCs w:val="20"/>
        </w:rPr>
        <w:t>模块二</w:t>
      </w:r>
      <w:bookmarkEnd w:id="3"/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bookmarkStart w:id="4" w:name="_Hlk177991041"/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ESG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管理框架及流程</w:t>
      </w:r>
      <w:bookmarkEnd w:id="4"/>
    </w:p>
    <w:p w14:paraId="28493633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管理要素及框架</w:t>
      </w:r>
    </w:p>
    <w:p w14:paraId="1BB10990" w14:textId="77777777" w:rsid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管理实施流程及要点</w:t>
      </w:r>
    </w:p>
    <w:p w14:paraId="71C89447" w14:textId="0B7783E6" w:rsidR="0015055E" w:rsidRPr="0015055E" w:rsidRDefault="00864B1C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模块三</w:t>
      </w:r>
      <w:bookmarkStart w:id="5" w:name="_Hlk177991050"/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确定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ESG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实质性议题</w:t>
      </w:r>
    </w:p>
    <w:bookmarkEnd w:id="5"/>
    <w:p w14:paraId="36ED661F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实质性的定义</w:t>
      </w:r>
    </w:p>
    <w:p w14:paraId="4C7396B1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实质性评估的意义</w:t>
      </w:r>
    </w:p>
    <w:p w14:paraId="0968DF91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实质性评估的步骤及要点</w:t>
      </w:r>
    </w:p>
    <w:p w14:paraId="17557A4C" w14:textId="37066631" w:rsidR="0015055E" w:rsidRPr="0015055E" w:rsidRDefault="00864B1C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模块四</w:t>
      </w:r>
      <w:bookmarkStart w:id="6" w:name="_Hlk177991061"/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ESG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风险和机遇及影响评估</w:t>
      </w:r>
    </w:p>
    <w:bookmarkEnd w:id="6"/>
    <w:p w14:paraId="45416710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风险和机遇评估</w:t>
      </w:r>
    </w:p>
    <w:p w14:paraId="791BA627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影响评估</w:t>
      </w:r>
    </w:p>
    <w:p w14:paraId="34C2221A" w14:textId="2CC3A0DB" w:rsidR="0015055E" w:rsidRPr="0015055E" w:rsidRDefault="00556825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模块五</w:t>
      </w:r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bookmarkStart w:id="7" w:name="_Hlk177991070"/>
      <w:r w:rsidR="0015055E" w:rsidRPr="0015055E">
        <w:rPr>
          <w:rFonts w:eastAsia="微软雅黑"/>
          <w:b/>
          <w:bCs/>
          <w:color w:val="0070C0"/>
          <w:sz w:val="20"/>
          <w:szCs w:val="20"/>
        </w:rPr>
        <w:t xml:space="preserve">ESG 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目标和战略制定</w:t>
      </w:r>
      <w:bookmarkEnd w:id="7"/>
    </w:p>
    <w:p w14:paraId="16A303B5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目标建立</w:t>
      </w:r>
    </w:p>
    <w:p w14:paraId="06D1FC71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战略制定</w:t>
      </w:r>
    </w:p>
    <w:p w14:paraId="40CE2BAE" w14:textId="7CB1F740" w:rsidR="0015055E" w:rsidRPr="0015055E" w:rsidRDefault="00556825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模块六</w:t>
      </w:r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bookmarkStart w:id="8" w:name="_Hlk177991080"/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ESG</w:t>
      </w:r>
      <w:r w:rsidR="0015055E" w:rsidRPr="0015055E">
        <w:rPr>
          <w:rFonts w:eastAsia="微软雅黑"/>
          <w:b/>
          <w:bCs/>
          <w:color w:val="0070C0"/>
          <w:sz w:val="20"/>
          <w:szCs w:val="20"/>
        </w:rPr>
        <w:t>绩效评价</w:t>
      </w:r>
      <w:bookmarkEnd w:id="8"/>
      <w:r w:rsidR="00D164C0">
        <w:rPr>
          <w:rFonts w:eastAsia="微软雅黑" w:hint="eastAsia"/>
          <w:b/>
          <w:bCs/>
          <w:color w:val="0070C0"/>
          <w:sz w:val="20"/>
          <w:szCs w:val="20"/>
        </w:rPr>
        <w:t>和披露</w:t>
      </w:r>
    </w:p>
    <w:p w14:paraId="406E87A1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绩效指标的设立</w:t>
      </w:r>
    </w:p>
    <w:p w14:paraId="6B560806" w14:textId="77777777" w:rsidR="0015055E" w:rsidRP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国内外</w:t>
      </w: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评级体系</w:t>
      </w:r>
    </w:p>
    <w:p w14:paraId="3DE0A40B" w14:textId="77777777" w:rsid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国内外</w:t>
      </w: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披露框架</w:t>
      </w:r>
    </w:p>
    <w:p w14:paraId="5CE52B05" w14:textId="00A2EC45" w:rsidR="00D164C0" w:rsidRPr="00D164C0" w:rsidRDefault="00D164C0" w:rsidP="00D164C0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D164C0">
        <w:rPr>
          <w:rFonts w:eastAsia="微软雅黑" w:hint="eastAsia"/>
          <w:sz w:val="20"/>
          <w:szCs w:val="20"/>
        </w:rPr>
        <w:lastRenderedPageBreak/>
        <w:t>ESG</w:t>
      </w:r>
      <w:r w:rsidRPr="00D164C0">
        <w:rPr>
          <w:rFonts w:eastAsia="微软雅黑" w:hint="eastAsia"/>
          <w:sz w:val="20"/>
          <w:szCs w:val="20"/>
        </w:rPr>
        <w:t>报告</w:t>
      </w:r>
      <w:proofErr w:type="gramStart"/>
      <w:r w:rsidRPr="00D164C0">
        <w:rPr>
          <w:rFonts w:eastAsia="微软雅黑" w:hint="eastAsia"/>
          <w:sz w:val="20"/>
          <w:szCs w:val="20"/>
        </w:rPr>
        <w:t>鉴证</w:t>
      </w:r>
      <w:proofErr w:type="gramEnd"/>
    </w:p>
    <w:p w14:paraId="1E8F95B7" w14:textId="388E4668" w:rsidR="00D164C0" w:rsidRDefault="00D164C0" w:rsidP="00D164C0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D164C0">
        <w:rPr>
          <w:rFonts w:eastAsia="微软雅黑" w:hint="eastAsia"/>
          <w:sz w:val="20"/>
          <w:szCs w:val="20"/>
        </w:rPr>
        <w:t>ESG</w:t>
      </w:r>
      <w:r w:rsidRPr="00D164C0">
        <w:rPr>
          <w:rFonts w:eastAsia="微软雅黑" w:hint="eastAsia"/>
          <w:sz w:val="20"/>
          <w:szCs w:val="20"/>
        </w:rPr>
        <w:t>内部审计</w:t>
      </w:r>
    </w:p>
    <w:p w14:paraId="162D637F" w14:textId="664EA9EB" w:rsidR="00D164C0" w:rsidRDefault="00D164C0" w:rsidP="00D164C0">
      <w:pPr>
        <w:tabs>
          <w:tab w:val="num" w:pos="1440"/>
        </w:tabs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proofErr w:type="gramStart"/>
      <w:r w:rsidRPr="00D164C0">
        <w:rPr>
          <w:rFonts w:eastAsia="微软雅黑"/>
          <w:b/>
          <w:bCs/>
          <w:color w:val="0070C0"/>
          <w:sz w:val="20"/>
          <w:szCs w:val="20"/>
        </w:rPr>
        <w:t>模块</w:t>
      </w:r>
      <w:r w:rsidRPr="00D164C0">
        <w:rPr>
          <w:rFonts w:eastAsia="微软雅黑" w:hint="eastAsia"/>
          <w:b/>
          <w:bCs/>
          <w:color w:val="0070C0"/>
          <w:sz w:val="20"/>
          <w:szCs w:val="20"/>
        </w:rPr>
        <w:t>七</w:t>
      </w:r>
      <w:proofErr w:type="gramEnd"/>
      <w:r>
        <w:rPr>
          <w:rFonts w:eastAsia="微软雅黑" w:hint="eastAsia"/>
          <w:b/>
          <w:bCs/>
          <w:color w:val="0070C0"/>
          <w:sz w:val="20"/>
          <w:szCs w:val="20"/>
        </w:rPr>
        <w:t xml:space="preserve"> </w:t>
      </w:r>
      <w:r w:rsidRPr="00D164C0">
        <w:rPr>
          <w:rFonts w:eastAsia="微软雅黑" w:hint="eastAsia"/>
          <w:b/>
          <w:bCs/>
          <w:color w:val="0070C0"/>
          <w:sz w:val="20"/>
          <w:szCs w:val="20"/>
        </w:rPr>
        <w:t>ESG</w:t>
      </w:r>
      <w:r w:rsidRPr="00D164C0">
        <w:rPr>
          <w:rFonts w:eastAsia="微软雅黑" w:hint="eastAsia"/>
          <w:b/>
          <w:bCs/>
          <w:color w:val="0070C0"/>
          <w:sz w:val="20"/>
          <w:szCs w:val="20"/>
        </w:rPr>
        <w:t>报告编制的原则和步骤</w:t>
      </w:r>
    </w:p>
    <w:p w14:paraId="591AB88E" w14:textId="348B19D1" w:rsidR="00D164C0" w:rsidRPr="00D164C0" w:rsidRDefault="00D164C0" w:rsidP="00D164C0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D164C0">
        <w:rPr>
          <w:rFonts w:eastAsia="微软雅黑" w:hint="eastAsia"/>
          <w:sz w:val="20"/>
          <w:szCs w:val="20"/>
        </w:rPr>
        <w:t>报告的原则</w:t>
      </w:r>
    </w:p>
    <w:p w14:paraId="15301D8E" w14:textId="1E863BF1" w:rsidR="00D164C0" w:rsidRDefault="00D164C0" w:rsidP="00D164C0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D164C0">
        <w:rPr>
          <w:rFonts w:eastAsia="微软雅黑" w:hint="eastAsia"/>
          <w:sz w:val="20"/>
          <w:szCs w:val="20"/>
        </w:rPr>
        <w:t>编制报告的步骤</w:t>
      </w:r>
    </w:p>
    <w:p w14:paraId="55214BE8" w14:textId="23B91B60" w:rsidR="00D164C0" w:rsidRPr="00D164C0" w:rsidRDefault="00D164C0" w:rsidP="00D164C0">
      <w:p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proofErr w:type="gramStart"/>
      <w:r w:rsidRPr="00D164C0">
        <w:rPr>
          <w:rFonts w:eastAsia="微软雅黑"/>
          <w:b/>
          <w:bCs/>
          <w:color w:val="0070C0"/>
          <w:sz w:val="20"/>
          <w:szCs w:val="20"/>
        </w:rPr>
        <w:t>模块八</w:t>
      </w:r>
      <w:proofErr w:type="gramEnd"/>
      <w:r w:rsidRPr="00D164C0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r w:rsidRPr="00D164C0">
        <w:rPr>
          <w:rFonts w:eastAsia="微软雅黑" w:hint="eastAsia"/>
          <w:b/>
          <w:bCs/>
          <w:color w:val="0070C0"/>
          <w:sz w:val="20"/>
          <w:szCs w:val="20"/>
        </w:rPr>
        <w:t>ESG</w:t>
      </w:r>
      <w:r w:rsidRPr="00D164C0">
        <w:rPr>
          <w:rFonts w:eastAsia="微软雅黑" w:hint="eastAsia"/>
          <w:b/>
          <w:bCs/>
          <w:color w:val="0070C0"/>
          <w:sz w:val="20"/>
          <w:szCs w:val="20"/>
        </w:rPr>
        <w:t>报告编制良好实践</w:t>
      </w:r>
    </w:p>
    <w:p w14:paraId="6E01FD47" w14:textId="7470605A" w:rsidR="0015055E" w:rsidRPr="0015055E" w:rsidRDefault="0015055E" w:rsidP="00D164C0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GRI</w:t>
      </w:r>
      <w:r w:rsidRPr="0015055E">
        <w:rPr>
          <w:rFonts w:eastAsia="微软雅黑"/>
          <w:sz w:val="20"/>
          <w:szCs w:val="20"/>
        </w:rPr>
        <w:t>标准解读</w:t>
      </w:r>
    </w:p>
    <w:p w14:paraId="0FFA9CE3" w14:textId="77777777" w:rsidR="0015055E" w:rsidRDefault="0015055E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高质量</w:t>
      </w:r>
      <w:r w:rsidRPr="0015055E">
        <w:rPr>
          <w:rFonts w:eastAsia="微软雅黑"/>
          <w:sz w:val="20"/>
          <w:szCs w:val="20"/>
        </w:rPr>
        <w:t>ESG</w:t>
      </w:r>
      <w:r w:rsidRPr="0015055E">
        <w:rPr>
          <w:rFonts w:eastAsia="微软雅黑"/>
          <w:sz w:val="20"/>
          <w:szCs w:val="20"/>
        </w:rPr>
        <w:t>报告编制要点</w:t>
      </w:r>
    </w:p>
    <w:p w14:paraId="1D73B84D" w14:textId="68A662B1" w:rsidR="003A4908" w:rsidRPr="003A4908" w:rsidRDefault="003A4908" w:rsidP="003A4908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5055E">
        <w:rPr>
          <w:rFonts w:eastAsia="微软雅黑"/>
          <w:sz w:val="20"/>
          <w:szCs w:val="20"/>
        </w:rPr>
        <w:t>GRI</w:t>
      </w:r>
      <w:r w:rsidRPr="0015055E">
        <w:rPr>
          <w:rFonts w:eastAsia="微软雅黑"/>
          <w:sz w:val="20"/>
          <w:szCs w:val="20"/>
        </w:rPr>
        <w:t>报告编制</w:t>
      </w:r>
      <w:proofErr w:type="gramStart"/>
      <w:r w:rsidRPr="0015055E">
        <w:rPr>
          <w:rFonts w:eastAsia="微软雅黑"/>
          <w:sz w:val="20"/>
          <w:szCs w:val="20"/>
        </w:rPr>
        <w:t>良好实践</w:t>
      </w:r>
      <w:proofErr w:type="gramEnd"/>
      <w:r w:rsidRPr="0015055E">
        <w:rPr>
          <w:rFonts w:eastAsia="微软雅黑"/>
          <w:sz w:val="20"/>
          <w:szCs w:val="20"/>
        </w:rPr>
        <w:t>与案例</w:t>
      </w:r>
    </w:p>
    <w:p w14:paraId="44EECC4A" w14:textId="77777777" w:rsidR="004B3EBD" w:rsidRDefault="00D164C0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>
        <w:rPr>
          <w:rFonts w:eastAsia="微软雅黑" w:hint="eastAsia"/>
          <w:b/>
          <w:bCs/>
          <w:color w:val="0070C0"/>
          <w:sz w:val="20"/>
          <w:szCs w:val="20"/>
        </w:rPr>
        <w:t>延伸补充：</w:t>
      </w:r>
    </w:p>
    <w:p w14:paraId="257977B5" w14:textId="0BEE02D1" w:rsidR="00AC6962" w:rsidRPr="00133C57" w:rsidRDefault="00556825" w:rsidP="00133C57">
      <w:p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33C57">
        <w:rPr>
          <w:rFonts w:eastAsia="微软雅黑"/>
          <w:b/>
          <w:bCs/>
          <w:color w:val="0070C0"/>
          <w:sz w:val="20"/>
          <w:szCs w:val="20"/>
        </w:rPr>
        <w:t>模块</w:t>
      </w:r>
      <w:bookmarkStart w:id="9" w:name="_Hlk177991099"/>
      <w:r w:rsidR="00D164C0">
        <w:rPr>
          <w:rFonts w:eastAsia="微软雅黑" w:hint="eastAsia"/>
          <w:b/>
          <w:bCs/>
          <w:color w:val="0070C0"/>
          <w:sz w:val="20"/>
          <w:szCs w:val="20"/>
        </w:rPr>
        <w:t>九</w:t>
      </w:r>
      <w:r w:rsidRPr="00133C57">
        <w:rPr>
          <w:rFonts w:eastAsia="微软雅黑"/>
          <w:b/>
          <w:bCs/>
          <w:color w:val="0070C0"/>
          <w:sz w:val="20"/>
          <w:szCs w:val="20"/>
        </w:rPr>
        <w:t xml:space="preserve"> </w:t>
      </w:r>
      <w:r w:rsidR="00AC6962" w:rsidRPr="00133C57">
        <w:rPr>
          <w:rFonts w:eastAsia="微软雅黑"/>
          <w:b/>
          <w:bCs/>
          <w:color w:val="0070C0"/>
          <w:sz w:val="20"/>
          <w:szCs w:val="20"/>
        </w:rPr>
        <w:t>ESG</w:t>
      </w:r>
      <w:r w:rsidR="00AC6962" w:rsidRPr="00133C57">
        <w:rPr>
          <w:rFonts w:eastAsia="微软雅黑"/>
          <w:b/>
          <w:bCs/>
          <w:color w:val="0070C0"/>
          <w:sz w:val="20"/>
          <w:szCs w:val="20"/>
        </w:rPr>
        <w:t>与化工行业责任关怀</w:t>
      </w:r>
      <w:r w:rsidR="00AC6962" w:rsidRPr="00133C57">
        <w:rPr>
          <w:rFonts w:eastAsia="微软雅黑"/>
          <w:b/>
          <w:bCs/>
          <w:color w:val="0070C0"/>
          <w:sz w:val="20"/>
          <w:szCs w:val="20"/>
        </w:rPr>
        <w:t>RC</w:t>
      </w:r>
    </w:p>
    <w:bookmarkEnd w:id="9"/>
    <w:p w14:paraId="3FF22C34" w14:textId="7606F138" w:rsidR="00AC6962" w:rsidRPr="00133C57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RC</w:t>
      </w:r>
      <w:r w:rsidRPr="00133C57">
        <w:rPr>
          <w:rFonts w:eastAsia="微软雅黑"/>
          <w:sz w:val="20"/>
          <w:szCs w:val="20"/>
        </w:rPr>
        <w:t>责任关怀的定义、起源、发展历程；</w:t>
      </w:r>
    </w:p>
    <w:p w14:paraId="48968B60" w14:textId="4F7A7146" w:rsidR="00AC6962" w:rsidRPr="00133C57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责任关怀基本特征和全球宪章；</w:t>
      </w:r>
    </w:p>
    <w:p w14:paraId="526DBC76" w14:textId="7D7C43B3" w:rsidR="00AC6962" w:rsidRPr="00133C57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责任关怀指导原则和六项实施准则；</w:t>
      </w:r>
    </w:p>
    <w:p w14:paraId="56E3EBDC" w14:textId="13C8E92D" w:rsidR="00AC6962" w:rsidRPr="00133C57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ICCA</w:t>
      </w:r>
      <w:r w:rsidRPr="00133C57">
        <w:rPr>
          <w:rFonts w:eastAsia="微软雅黑"/>
          <w:sz w:val="20"/>
          <w:szCs w:val="20"/>
        </w:rPr>
        <w:t>责任关怀绩效报告指标（</w:t>
      </w:r>
      <w:r w:rsidRPr="00133C57">
        <w:rPr>
          <w:rFonts w:eastAsia="微软雅黑"/>
          <w:sz w:val="20"/>
          <w:szCs w:val="20"/>
        </w:rPr>
        <w:t>KPIs</w:t>
      </w:r>
      <w:r w:rsidRPr="00133C57">
        <w:rPr>
          <w:rFonts w:eastAsia="微软雅黑"/>
          <w:sz w:val="20"/>
          <w:szCs w:val="20"/>
        </w:rPr>
        <w:t>）；</w:t>
      </w:r>
    </w:p>
    <w:p w14:paraId="00DC2D78" w14:textId="5C13E4B5" w:rsidR="00AC6962" w:rsidRPr="00133C57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责任关怀实施的八大步骤；</w:t>
      </w:r>
    </w:p>
    <w:p w14:paraId="4657D874" w14:textId="1FF1BDF7" w:rsidR="00AC6962" w:rsidRPr="0015055E" w:rsidRDefault="00AC6962" w:rsidP="00133C57">
      <w:pPr>
        <w:numPr>
          <w:ilvl w:val="1"/>
          <w:numId w:val="25"/>
        </w:numPr>
        <w:adjustRightInd w:val="0"/>
        <w:snapToGrid w:val="0"/>
        <w:spacing w:line="300" w:lineRule="auto"/>
        <w:rPr>
          <w:rFonts w:eastAsia="微软雅黑"/>
          <w:sz w:val="20"/>
          <w:szCs w:val="20"/>
        </w:rPr>
      </w:pPr>
      <w:r w:rsidRPr="00133C57">
        <w:rPr>
          <w:rFonts w:eastAsia="微软雅黑"/>
          <w:sz w:val="20"/>
          <w:szCs w:val="20"/>
        </w:rPr>
        <w:t>ESG</w:t>
      </w:r>
      <w:r w:rsidRPr="00133C57">
        <w:rPr>
          <w:rFonts w:eastAsia="微软雅黑"/>
          <w:sz w:val="20"/>
          <w:szCs w:val="20"/>
        </w:rPr>
        <w:t>如何结合</w:t>
      </w:r>
      <w:r w:rsidRPr="00133C57">
        <w:rPr>
          <w:rFonts w:eastAsia="微软雅黑"/>
          <w:sz w:val="20"/>
          <w:szCs w:val="20"/>
        </w:rPr>
        <w:t>RC</w:t>
      </w:r>
      <w:r w:rsidRPr="00133C57">
        <w:rPr>
          <w:rFonts w:eastAsia="微软雅黑"/>
          <w:sz w:val="20"/>
          <w:szCs w:val="20"/>
        </w:rPr>
        <w:t>提升化工行业的</w:t>
      </w:r>
      <w:r w:rsidRPr="00133C57">
        <w:rPr>
          <w:rFonts w:eastAsia="微软雅黑"/>
          <w:sz w:val="20"/>
          <w:szCs w:val="20"/>
        </w:rPr>
        <w:t>ESG</w:t>
      </w:r>
      <w:r w:rsidRPr="00133C57">
        <w:rPr>
          <w:rFonts w:eastAsia="微软雅黑"/>
          <w:sz w:val="20"/>
          <w:szCs w:val="20"/>
        </w:rPr>
        <w:t>水平</w:t>
      </w:r>
    </w:p>
    <w:p w14:paraId="287A3686" w14:textId="0679F1BA" w:rsidR="0015055E" w:rsidRDefault="0015055E" w:rsidP="00133C57">
      <w:pPr>
        <w:numPr>
          <w:ilvl w:val="0"/>
          <w:numId w:val="26"/>
        </w:numPr>
        <w:adjustRightInd w:val="0"/>
        <w:snapToGrid w:val="0"/>
        <w:spacing w:line="300" w:lineRule="auto"/>
        <w:rPr>
          <w:rFonts w:eastAsia="微软雅黑"/>
          <w:b/>
          <w:bCs/>
          <w:color w:val="0070C0"/>
          <w:sz w:val="20"/>
          <w:szCs w:val="20"/>
        </w:rPr>
      </w:pPr>
      <w:r w:rsidRPr="0015055E">
        <w:rPr>
          <w:rFonts w:eastAsia="微软雅黑"/>
          <w:b/>
          <w:bCs/>
          <w:color w:val="0070C0"/>
          <w:sz w:val="20"/>
          <w:szCs w:val="20"/>
        </w:rPr>
        <w:t>课程总结与讨论</w:t>
      </w:r>
    </w:p>
    <w:p w14:paraId="1901A394" w14:textId="77777777" w:rsidR="008178D4" w:rsidRPr="00307730" w:rsidRDefault="008178D4" w:rsidP="008178D4">
      <w:pPr>
        <w:widowControl/>
        <w:adjustRightInd w:val="0"/>
        <w:snapToGrid w:val="0"/>
        <w:spacing w:line="300" w:lineRule="auto"/>
        <w:ind w:firstLine="0"/>
        <w:jc w:val="left"/>
        <w:rPr>
          <w:rFonts w:eastAsia="微软雅黑"/>
          <w:b/>
          <w:bCs/>
          <w:color w:val="0070C0"/>
          <w:kern w:val="0"/>
          <w:sz w:val="22"/>
          <w:szCs w:val="22"/>
        </w:rPr>
      </w:pPr>
      <w:r w:rsidRPr="00307730">
        <w:rPr>
          <w:rFonts w:eastAsia="微软雅黑"/>
          <w:b/>
          <w:bCs/>
          <w:color w:val="0070C0"/>
          <w:kern w:val="0"/>
          <w:sz w:val="22"/>
          <w:szCs w:val="22"/>
        </w:rPr>
        <w:t>【</w:t>
      </w:r>
      <w:r w:rsidRPr="00307730">
        <w:rPr>
          <w:rFonts w:eastAsia="微软雅黑" w:hint="eastAsia"/>
          <w:b/>
          <w:bCs/>
          <w:color w:val="0070C0"/>
          <w:kern w:val="0"/>
          <w:sz w:val="22"/>
          <w:szCs w:val="22"/>
        </w:rPr>
        <w:t>讲师介绍</w:t>
      </w:r>
      <w:r w:rsidRPr="00307730">
        <w:rPr>
          <w:rFonts w:eastAsia="微软雅黑"/>
          <w:b/>
          <w:bCs/>
          <w:color w:val="0070C0"/>
          <w:kern w:val="0"/>
          <w:sz w:val="22"/>
          <w:szCs w:val="22"/>
        </w:rPr>
        <w:t>】</w:t>
      </w:r>
    </w:p>
    <w:p w14:paraId="6EED2EB8" w14:textId="77777777" w:rsidR="008178D4" w:rsidRPr="00307730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ind w:firstLine="0"/>
        <w:jc w:val="left"/>
        <w:rPr>
          <w:b/>
          <w:color w:val="333333"/>
          <w:kern w:val="0"/>
          <w:sz w:val="32"/>
          <w:szCs w:val="32"/>
          <w:lang w:val="en-GB"/>
        </w:rPr>
      </w:pPr>
      <w:r w:rsidRPr="00307730">
        <w:rPr>
          <w:rFonts w:ascii="微软雅黑" w:eastAsia="微软雅黑" w:hAnsi="微软雅黑" w:hint="eastAsia"/>
          <w:b/>
          <w:color w:val="333333"/>
          <w:kern w:val="0"/>
          <w:sz w:val="28"/>
          <w:szCs w:val="28"/>
          <w:lang w:val="en-GB" w:eastAsia="de-DE"/>
        </w:rPr>
        <w:t>徐</w:t>
      </w:r>
      <w:r>
        <w:rPr>
          <w:rFonts w:ascii="微软雅黑" w:eastAsia="微软雅黑" w:hAnsi="微软雅黑" w:hint="eastAsia"/>
          <w:b/>
          <w:color w:val="333333"/>
          <w:kern w:val="0"/>
          <w:sz w:val="28"/>
          <w:szCs w:val="28"/>
          <w:lang w:val="en-GB"/>
        </w:rPr>
        <w:t>老师</w:t>
      </w:r>
    </w:p>
    <w:p w14:paraId="1C262D66" w14:textId="77777777" w:rsidR="008178D4" w:rsidRPr="00307730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ind w:firstLine="0"/>
        <w:jc w:val="left"/>
        <w:rPr>
          <w:b/>
          <w:color w:val="333333"/>
          <w:kern w:val="0"/>
          <w:sz w:val="32"/>
          <w:szCs w:val="32"/>
          <w:lang w:val="en-GB"/>
        </w:rPr>
      </w:pPr>
      <w:r w:rsidRPr="00307730">
        <w:rPr>
          <w:rFonts w:hint="eastAsia"/>
          <w:b/>
          <w:color w:val="333333"/>
          <w:kern w:val="0"/>
          <w:sz w:val="32"/>
          <w:szCs w:val="32"/>
          <w:lang w:val="en-GB"/>
        </w:rPr>
        <w:t>Mr</w:t>
      </w:r>
      <w:r w:rsidRPr="00307730">
        <w:rPr>
          <w:b/>
          <w:color w:val="333333"/>
          <w:kern w:val="0"/>
          <w:sz w:val="32"/>
          <w:szCs w:val="32"/>
          <w:lang w:val="en-GB"/>
        </w:rPr>
        <w:t xml:space="preserve"> </w:t>
      </w:r>
      <w:r w:rsidRPr="00307730">
        <w:rPr>
          <w:rFonts w:hint="eastAsia"/>
          <w:b/>
          <w:color w:val="333333"/>
          <w:kern w:val="0"/>
          <w:sz w:val="32"/>
          <w:szCs w:val="32"/>
          <w:lang w:val="en-GB"/>
        </w:rPr>
        <w:t>Stan</w:t>
      </w:r>
      <w:r w:rsidRPr="00307730">
        <w:rPr>
          <w:b/>
          <w:color w:val="333333"/>
          <w:kern w:val="0"/>
          <w:sz w:val="32"/>
          <w:szCs w:val="32"/>
          <w:lang w:val="en-GB" w:eastAsia="de-DE"/>
        </w:rPr>
        <w:t>ley Xu</w:t>
      </w:r>
      <w:r w:rsidRPr="00307730">
        <w:rPr>
          <w:rFonts w:hint="eastAsia"/>
          <w:b/>
          <w:color w:val="333333"/>
          <w:kern w:val="0"/>
          <w:sz w:val="32"/>
          <w:szCs w:val="32"/>
          <w:lang w:val="en-GB" w:eastAsia="de-DE"/>
        </w:rPr>
        <w:t xml:space="preserve">     </w:t>
      </w:r>
    </w:p>
    <w:p w14:paraId="7FA872E6" w14:textId="77777777" w:rsidR="008178D4" w:rsidRPr="00307730" w:rsidRDefault="008178D4" w:rsidP="008178D4">
      <w:pPr>
        <w:spacing w:line="360" w:lineRule="exact"/>
        <w:ind w:firstLine="0"/>
        <w:rPr>
          <w:rFonts w:eastAsia="微软雅黑"/>
          <w:b/>
          <w:bCs/>
          <w:sz w:val="20"/>
          <w:szCs w:val="20"/>
        </w:rPr>
      </w:pPr>
      <w:r w:rsidRPr="00307730">
        <w:rPr>
          <w:rFonts w:eastAsia="微软雅黑"/>
          <w:b/>
          <w:bCs/>
          <w:sz w:val="20"/>
          <w:szCs w:val="20"/>
        </w:rPr>
        <w:t>技术特点</w:t>
      </w:r>
    </w:p>
    <w:p w14:paraId="7C4CE161" w14:textId="77777777" w:rsidR="008178D4" w:rsidRPr="00307730" w:rsidRDefault="008178D4" w:rsidP="008178D4">
      <w:pPr>
        <w:widowControl/>
        <w:adjustRightInd w:val="0"/>
        <w:snapToGrid w:val="0"/>
        <w:spacing w:line="360" w:lineRule="exact"/>
        <w:jc w:val="left"/>
        <w:rPr>
          <w:rFonts w:eastAsia="微软雅黑"/>
          <w:kern w:val="0"/>
          <w:sz w:val="20"/>
          <w:szCs w:val="20"/>
          <w:lang w:val="en-GB" w:eastAsia="de-DE"/>
        </w:rPr>
      </w:pPr>
      <w:r w:rsidRPr="00307730">
        <w:rPr>
          <w:rFonts w:eastAsia="微软雅黑"/>
          <w:kern w:val="0"/>
          <w:sz w:val="20"/>
          <w:szCs w:val="20"/>
          <w:lang w:val="en-GB"/>
        </w:rPr>
        <w:t>专注于可持续发展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培训和咨询</w:t>
      </w:r>
      <w:r w:rsidRPr="00A647AF">
        <w:rPr>
          <w:rFonts w:eastAsia="微软雅黑"/>
          <w:kern w:val="0"/>
          <w:sz w:val="20"/>
          <w:szCs w:val="20"/>
          <w:lang w:val="en-GB" w:eastAsia="de-DE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包括</w:t>
      </w:r>
      <w:r w:rsidRPr="00307730">
        <w:rPr>
          <w:rFonts w:eastAsia="微软雅黑"/>
          <w:kern w:val="0"/>
          <w:sz w:val="20"/>
          <w:szCs w:val="20"/>
          <w:lang w:val="en-GB"/>
        </w:rPr>
        <w:t>ESG/CSR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合</w:t>
      </w:r>
      <w:proofErr w:type="gramStart"/>
      <w:r w:rsidRPr="00307730">
        <w:rPr>
          <w:rFonts w:eastAsia="微软雅黑"/>
          <w:kern w:val="0"/>
          <w:sz w:val="20"/>
          <w:szCs w:val="20"/>
          <w:lang w:val="en-GB" w:eastAsia="de-DE"/>
        </w:rPr>
        <w:t>规</w:t>
      </w:r>
      <w:proofErr w:type="gramEnd"/>
      <w:r w:rsidRPr="00307730">
        <w:rPr>
          <w:rFonts w:eastAsia="微软雅黑"/>
          <w:kern w:val="0"/>
          <w:sz w:val="20"/>
          <w:szCs w:val="20"/>
          <w:lang w:val="en-GB" w:eastAsia="de-DE"/>
        </w:rPr>
        <w:t>管理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能源管理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环境管理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EPD/</w:t>
      </w:r>
      <w:r w:rsidRPr="00307730">
        <w:rPr>
          <w:rFonts w:eastAsia="微软雅黑"/>
          <w:kern w:val="0"/>
          <w:sz w:val="20"/>
          <w:szCs w:val="20"/>
          <w:lang w:val="en-GB"/>
        </w:rPr>
        <w:t>生命周期评估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碳管理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职业健康安全</w:t>
      </w:r>
      <w:r w:rsidRPr="00307730">
        <w:rPr>
          <w:rFonts w:eastAsia="微软雅黑"/>
          <w:kern w:val="0"/>
          <w:sz w:val="20"/>
          <w:szCs w:val="20"/>
          <w:lang w:val="en-GB"/>
        </w:rPr>
        <w:t>管理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业务连续性</w:t>
      </w:r>
      <w:r w:rsidRPr="00307730">
        <w:rPr>
          <w:rFonts w:eastAsia="微软雅黑"/>
          <w:kern w:val="0"/>
          <w:sz w:val="20"/>
          <w:szCs w:val="20"/>
          <w:lang w:val="en-GB"/>
        </w:rPr>
        <w:t>管理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等。</w:t>
      </w:r>
    </w:p>
    <w:p w14:paraId="2C6F41F2" w14:textId="77777777" w:rsidR="008178D4" w:rsidRPr="00A647AF" w:rsidRDefault="008178D4" w:rsidP="008178D4">
      <w:pPr>
        <w:widowControl/>
        <w:adjustRightInd w:val="0"/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/>
        </w:rPr>
        <w:t>在培训课程研发方面具有特别丰富的经验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主导或参与过多</w:t>
      </w:r>
      <w:proofErr w:type="gramStart"/>
      <w:r w:rsidRPr="00307730">
        <w:rPr>
          <w:rFonts w:eastAsia="微软雅黑"/>
          <w:kern w:val="0"/>
          <w:sz w:val="20"/>
          <w:szCs w:val="20"/>
          <w:lang w:val="en-GB"/>
        </w:rPr>
        <w:t>个</w:t>
      </w:r>
      <w:proofErr w:type="gramEnd"/>
      <w:r w:rsidRPr="00307730">
        <w:rPr>
          <w:rFonts w:eastAsia="微软雅黑"/>
          <w:kern w:val="0"/>
          <w:sz w:val="20"/>
          <w:szCs w:val="20"/>
          <w:lang w:val="en-GB"/>
        </w:rPr>
        <w:t>品牌（苹果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沃尔玛等）供应链</w:t>
      </w:r>
      <w:r w:rsidRPr="00307730">
        <w:rPr>
          <w:rFonts w:eastAsia="微软雅黑"/>
          <w:kern w:val="0"/>
          <w:sz w:val="20"/>
          <w:szCs w:val="20"/>
          <w:lang w:val="en-GB"/>
        </w:rPr>
        <w:t>60</w:t>
      </w:r>
      <w:r w:rsidRPr="00307730">
        <w:rPr>
          <w:rFonts w:eastAsia="微软雅黑"/>
          <w:kern w:val="0"/>
          <w:sz w:val="20"/>
          <w:szCs w:val="20"/>
          <w:lang w:val="en-GB"/>
        </w:rPr>
        <w:t>多门</w:t>
      </w:r>
      <w:r w:rsidRPr="00A647AF">
        <w:rPr>
          <w:rFonts w:eastAsia="微软雅黑"/>
          <w:kern w:val="0"/>
          <w:sz w:val="20"/>
          <w:szCs w:val="20"/>
          <w:lang w:val="en-GB"/>
        </w:rPr>
        <w:t>ESG</w:t>
      </w:r>
      <w:r w:rsidRPr="00A647AF">
        <w:rPr>
          <w:rFonts w:eastAsia="微软雅黑"/>
          <w:kern w:val="0"/>
          <w:sz w:val="20"/>
          <w:szCs w:val="20"/>
          <w:lang w:val="en-GB"/>
        </w:rPr>
        <w:t>、低碳可持续、</w:t>
      </w:r>
      <w:r w:rsidRPr="00307730">
        <w:rPr>
          <w:rFonts w:eastAsia="微软雅黑"/>
          <w:kern w:val="0"/>
          <w:sz w:val="20"/>
          <w:szCs w:val="20"/>
          <w:lang w:val="en-GB"/>
        </w:rPr>
        <w:t>环境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能源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健康安全</w:t>
      </w:r>
      <w:r w:rsidRPr="00A647AF">
        <w:rPr>
          <w:rFonts w:eastAsia="微软雅黑"/>
          <w:kern w:val="0"/>
          <w:sz w:val="20"/>
          <w:szCs w:val="20"/>
          <w:lang w:val="en-GB"/>
        </w:rPr>
        <w:t>的</w:t>
      </w:r>
      <w:r w:rsidRPr="00307730">
        <w:rPr>
          <w:rFonts w:eastAsia="微软雅黑"/>
          <w:kern w:val="0"/>
          <w:sz w:val="20"/>
          <w:szCs w:val="20"/>
          <w:lang w:val="en-GB"/>
        </w:rPr>
        <w:t>设计开发工作。特别是</w:t>
      </w:r>
      <w:r w:rsidRPr="00307730">
        <w:rPr>
          <w:rFonts w:eastAsia="微软雅黑"/>
          <w:kern w:val="0"/>
          <w:sz w:val="20"/>
          <w:szCs w:val="20"/>
          <w:lang w:val="en-GB"/>
        </w:rPr>
        <w:t>2013-2017</w:t>
      </w:r>
      <w:r w:rsidRPr="00307730">
        <w:rPr>
          <w:rFonts w:eastAsia="微软雅黑"/>
          <w:kern w:val="0"/>
          <w:sz w:val="20"/>
          <w:szCs w:val="20"/>
          <w:lang w:val="en-GB"/>
        </w:rPr>
        <w:t>年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他和讲师团队为苹果供应</w:t>
      </w:r>
      <w:proofErr w:type="gramStart"/>
      <w:r w:rsidRPr="00307730">
        <w:rPr>
          <w:rFonts w:eastAsia="微软雅黑"/>
          <w:kern w:val="0"/>
          <w:sz w:val="20"/>
          <w:szCs w:val="20"/>
          <w:lang w:val="en-GB"/>
        </w:rPr>
        <w:t>链培训</w:t>
      </w:r>
      <w:proofErr w:type="gramEnd"/>
      <w:r w:rsidRPr="00307730">
        <w:rPr>
          <w:rFonts w:eastAsia="微软雅黑"/>
          <w:kern w:val="0"/>
          <w:sz w:val="20"/>
          <w:szCs w:val="20"/>
          <w:lang w:val="en-GB"/>
        </w:rPr>
        <w:t>项目设计开发了</w:t>
      </w:r>
      <w:r w:rsidRPr="00307730">
        <w:rPr>
          <w:rFonts w:eastAsia="微软雅黑"/>
          <w:kern w:val="0"/>
          <w:sz w:val="20"/>
          <w:szCs w:val="20"/>
          <w:lang w:val="en-GB"/>
        </w:rPr>
        <w:t>29</w:t>
      </w:r>
      <w:r w:rsidRPr="00307730">
        <w:rPr>
          <w:rFonts w:eastAsia="微软雅黑"/>
          <w:kern w:val="0"/>
          <w:sz w:val="20"/>
          <w:szCs w:val="20"/>
          <w:lang w:val="en-GB"/>
        </w:rPr>
        <w:t>门</w:t>
      </w:r>
      <w:r w:rsidRPr="00307730">
        <w:rPr>
          <w:rFonts w:eastAsia="微软雅黑"/>
          <w:kern w:val="0"/>
          <w:sz w:val="20"/>
          <w:szCs w:val="20"/>
          <w:lang w:val="en-GB"/>
        </w:rPr>
        <w:t>EHS</w:t>
      </w:r>
      <w:r w:rsidRPr="00307730">
        <w:rPr>
          <w:rFonts w:eastAsia="微软雅黑"/>
          <w:kern w:val="0"/>
          <w:sz w:val="20"/>
          <w:szCs w:val="20"/>
          <w:lang w:val="en-GB"/>
        </w:rPr>
        <w:t>和</w:t>
      </w:r>
      <w:r w:rsidRPr="00307730">
        <w:rPr>
          <w:rFonts w:eastAsia="微软雅黑"/>
          <w:kern w:val="0"/>
          <w:sz w:val="20"/>
          <w:szCs w:val="20"/>
          <w:lang w:val="en-GB"/>
        </w:rPr>
        <w:t>11</w:t>
      </w:r>
      <w:r w:rsidRPr="00307730">
        <w:rPr>
          <w:rFonts w:eastAsia="微软雅黑"/>
          <w:kern w:val="0"/>
          <w:sz w:val="20"/>
          <w:szCs w:val="20"/>
          <w:lang w:val="en-GB"/>
        </w:rPr>
        <w:t>门能源培训课程。</w:t>
      </w:r>
    </w:p>
    <w:p w14:paraId="4341B68F" w14:textId="77777777" w:rsidR="008178D4" w:rsidRPr="00A647AF" w:rsidRDefault="008178D4" w:rsidP="008178D4">
      <w:pPr>
        <w:widowControl/>
        <w:adjustRightInd w:val="0"/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A647AF">
        <w:rPr>
          <w:rFonts w:eastAsia="微软雅黑"/>
          <w:kern w:val="0"/>
          <w:sz w:val="20"/>
          <w:szCs w:val="20"/>
          <w:lang w:val="en-GB"/>
        </w:rPr>
        <w:t>通过</w:t>
      </w:r>
      <w:r w:rsidRPr="00A647AF">
        <w:rPr>
          <w:rFonts w:eastAsia="微软雅黑"/>
          <w:kern w:val="0"/>
          <w:sz w:val="20"/>
          <w:szCs w:val="20"/>
          <w:lang w:val="en-GB"/>
        </w:rPr>
        <w:t>ESG</w:t>
      </w:r>
      <w:r w:rsidRPr="00A647AF">
        <w:rPr>
          <w:rFonts w:eastAsia="微软雅黑"/>
          <w:kern w:val="0"/>
          <w:sz w:val="20"/>
          <w:szCs w:val="20"/>
          <w:lang w:val="en-GB"/>
        </w:rPr>
        <w:t>的全流程辅导</w:t>
      </w:r>
      <w:r>
        <w:rPr>
          <w:rFonts w:eastAsia="微软雅黑" w:hint="eastAsia"/>
          <w:kern w:val="0"/>
          <w:sz w:val="20"/>
          <w:szCs w:val="20"/>
          <w:lang w:val="en-GB"/>
        </w:rPr>
        <w:t>，</w:t>
      </w:r>
      <w:r w:rsidRPr="00A647AF">
        <w:rPr>
          <w:rFonts w:eastAsia="微软雅黑"/>
          <w:kern w:val="0"/>
          <w:sz w:val="20"/>
          <w:szCs w:val="20"/>
          <w:lang w:val="en-GB"/>
        </w:rPr>
        <w:t>众多企业获取</w:t>
      </w:r>
      <w:r w:rsidRPr="00A647AF">
        <w:rPr>
          <w:rFonts w:eastAsia="微软雅黑"/>
          <w:kern w:val="0"/>
          <w:sz w:val="20"/>
          <w:szCs w:val="20"/>
          <w:lang w:val="en-GB"/>
        </w:rPr>
        <w:t>ESG</w:t>
      </w:r>
      <w:r w:rsidRPr="00A647AF">
        <w:rPr>
          <w:rFonts w:eastAsia="微软雅黑"/>
          <w:kern w:val="0"/>
          <w:sz w:val="20"/>
          <w:szCs w:val="20"/>
          <w:lang w:val="en-GB"/>
        </w:rPr>
        <w:t>报告及评级、如：</w:t>
      </w:r>
      <w:r w:rsidRPr="00307730">
        <w:rPr>
          <w:rFonts w:eastAsia="微软雅黑"/>
          <w:kern w:val="0"/>
          <w:sz w:val="20"/>
          <w:szCs w:val="20"/>
          <w:lang w:val="en-GB"/>
        </w:rPr>
        <w:t>美特（中国）化学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东方日升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proofErr w:type="gramStart"/>
      <w:r w:rsidRPr="00307730">
        <w:rPr>
          <w:rFonts w:eastAsia="微软雅黑"/>
          <w:kern w:val="0"/>
          <w:sz w:val="20"/>
          <w:szCs w:val="20"/>
          <w:lang w:val="en-GB"/>
        </w:rPr>
        <w:t>永杉锂</w:t>
      </w:r>
      <w:proofErr w:type="gramEnd"/>
      <w:r w:rsidRPr="00307730">
        <w:rPr>
          <w:rFonts w:eastAsia="微软雅黑"/>
          <w:kern w:val="0"/>
          <w:sz w:val="20"/>
          <w:szCs w:val="20"/>
          <w:lang w:val="en-GB"/>
        </w:rPr>
        <w:t>业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阳光能源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安柯威汽车部件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香港新宇环保集团</w:t>
      </w:r>
      <w:r w:rsidRPr="00A647AF">
        <w:rPr>
          <w:rFonts w:eastAsia="微软雅黑"/>
          <w:kern w:val="0"/>
          <w:sz w:val="20"/>
          <w:szCs w:val="20"/>
          <w:lang w:val="en-GB"/>
        </w:rPr>
        <w:t>、</w:t>
      </w:r>
      <w:r w:rsidRPr="00307730">
        <w:rPr>
          <w:rFonts w:eastAsia="微软雅黑"/>
          <w:kern w:val="0"/>
          <w:sz w:val="20"/>
          <w:szCs w:val="20"/>
          <w:lang w:val="en-GB"/>
        </w:rPr>
        <w:t>德国</w:t>
      </w:r>
      <w:r w:rsidRPr="00307730">
        <w:rPr>
          <w:rFonts w:eastAsia="微软雅黑"/>
          <w:kern w:val="0"/>
          <w:sz w:val="20"/>
          <w:szCs w:val="20"/>
          <w:lang w:val="en-GB"/>
        </w:rPr>
        <w:t>Brugger GmbH</w:t>
      </w:r>
      <w:r w:rsidRPr="00307730">
        <w:rPr>
          <w:rFonts w:eastAsia="微软雅黑"/>
          <w:kern w:val="0"/>
          <w:sz w:val="20"/>
          <w:szCs w:val="20"/>
          <w:lang w:val="en-GB"/>
        </w:rPr>
        <w:t>中国供应链</w:t>
      </w:r>
      <w:r w:rsidRPr="00A647AF">
        <w:rPr>
          <w:rFonts w:eastAsia="微软雅黑"/>
          <w:kern w:val="0"/>
          <w:sz w:val="20"/>
          <w:szCs w:val="20"/>
          <w:lang w:val="en-GB"/>
        </w:rPr>
        <w:t>等。</w:t>
      </w:r>
    </w:p>
    <w:p w14:paraId="4B055707" w14:textId="77777777" w:rsidR="008178D4" w:rsidRPr="00307730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="0"/>
        <w:jc w:val="center"/>
        <w:rPr>
          <w:rFonts w:eastAsia="微软雅黑"/>
          <w:color w:val="333333"/>
          <w:kern w:val="0"/>
          <w:sz w:val="20"/>
          <w:szCs w:val="20"/>
          <w:lang w:val="en-GB" w:eastAsia="de-DE"/>
        </w:rPr>
      </w:pPr>
    </w:p>
    <w:p w14:paraId="26E88189" w14:textId="77777777" w:rsidR="008178D4" w:rsidRPr="00307730" w:rsidRDefault="008178D4" w:rsidP="008178D4">
      <w:pPr>
        <w:spacing w:line="360" w:lineRule="exact"/>
        <w:ind w:firstLine="0"/>
        <w:rPr>
          <w:rFonts w:eastAsia="微软雅黑"/>
          <w:b/>
          <w:bCs/>
          <w:sz w:val="20"/>
          <w:szCs w:val="20"/>
        </w:rPr>
      </w:pPr>
      <w:r w:rsidRPr="00307730">
        <w:rPr>
          <w:rFonts w:eastAsia="微软雅黑"/>
          <w:b/>
          <w:bCs/>
          <w:sz w:val="20"/>
          <w:szCs w:val="20"/>
        </w:rPr>
        <w:t>学历背景</w:t>
      </w:r>
    </w:p>
    <w:p w14:paraId="40BE1E04" w14:textId="77777777" w:rsidR="008178D4" w:rsidRPr="00A647AF" w:rsidRDefault="008178D4" w:rsidP="008178D4">
      <w:pPr>
        <w:widowControl/>
        <w:spacing w:line="360" w:lineRule="exact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徐</w:t>
      </w:r>
      <w:r w:rsidRPr="00A647AF">
        <w:rPr>
          <w:rFonts w:eastAsia="微软雅黑"/>
          <w:kern w:val="0"/>
          <w:sz w:val="20"/>
          <w:szCs w:val="20"/>
          <w:lang w:val="en-GB"/>
        </w:rPr>
        <w:t>老师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本科毕业于上海同济大学建筑材料工程系</w:t>
      </w:r>
    </w:p>
    <w:p w14:paraId="58925099" w14:textId="77777777" w:rsidR="008178D4" w:rsidRPr="00307730" w:rsidRDefault="008178D4" w:rsidP="008178D4">
      <w:pPr>
        <w:widowControl/>
        <w:spacing w:line="360" w:lineRule="exact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lastRenderedPageBreak/>
        <w:t>华南理工大学材料学和加拿大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Dalhousie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大学资源与环境管理</w:t>
      </w:r>
      <w:r w:rsidRPr="00A647AF">
        <w:rPr>
          <w:rFonts w:eastAsia="微软雅黑"/>
          <w:kern w:val="0"/>
          <w:sz w:val="20"/>
          <w:szCs w:val="20"/>
          <w:lang w:val="en-GB"/>
        </w:rPr>
        <w:t>双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硕士学位</w:t>
      </w:r>
    </w:p>
    <w:p w14:paraId="002AF2ED" w14:textId="77777777" w:rsidR="008178D4" w:rsidRPr="00307730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="0"/>
        <w:jc w:val="center"/>
        <w:rPr>
          <w:rFonts w:eastAsia="微软雅黑"/>
          <w:color w:val="333333"/>
          <w:kern w:val="0"/>
          <w:sz w:val="20"/>
          <w:szCs w:val="20"/>
          <w:lang w:val="en-GB" w:eastAsia="de-DE"/>
        </w:rPr>
      </w:pPr>
    </w:p>
    <w:p w14:paraId="0AB60C72" w14:textId="77777777" w:rsidR="008178D4" w:rsidRPr="00307730" w:rsidRDefault="008178D4" w:rsidP="008178D4">
      <w:pPr>
        <w:spacing w:line="360" w:lineRule="exact"/>
        <w:ind w:firstLine="0"/>
        <w:rPr>
          <w:rFonts w:eastAsia="微软雅黑"/>
          <w:b/>
          <w:bCs/>
          <w:sz w:val="20"/>
          <w:szCs w:val="20"/>
        </w:rPr>
      </w:pPr>
      <w:r w:rsidRPr="00307730">
        <w:rPr>
          <w:rFonts w:eastAsia="微软雅黑"/>
          <w:b/>
          <w:bCs/>
          <w:sz w:val="20"/>
          <w:szCs w:val="20"/>
        </w:rPr>
        <w:t>专业资格和荣誉</w:t>
      </w:r>
    </w:p>
    <w:p w14:paraId="05083A8D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A647AF">
        <w:rPr>
          <w:rFonts w:eastAsia="微软雅黑"/>
          <w:kern w:val="0"/>
          <w:sz w:val="20"/>
          <w:szCs w:val="20"/>
          <w:lang w:val="en-GB"/>
        </w:rPr>
        <w:t>方之见顾问</w:t>
      </w:r>
      <w:r w:rsidRPr="00A647AF">
        <w:rPr>
          <w:rFonts w:eastAsia="微软雅黑"/>
          <w:kern w:val="0"/>
          <w:sz w:val="20"/>
          <w:szCs w:val="20"/>
          <w:lang w:val="en-GB"/>
        </w:rPr>
        <w:t>ESG</w:t>
      </w:r>
      <w:r w:rsidRPr="00A647AF">
        <w:rPr>
          <w:rFonts w:eastAsia="微软雅黑"/>
          <w:kern w:val="0"/>
          <w:sz w:val="20"/>
          <w:szCs w:val="20"/>
          <w:lang w:val="en-GB"/>
        </w:rPr>
        <w:t>高级培训、咨询师</w:t>
      </w:r>
    </w:p>
    <w:p w14:paraId="27BAD981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美国能源工程师协会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AEE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注册的能源管理师（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CEM</w:t>
      </w:r>
      <w:r w:rsidRPr="00A647AF">
        <w:rPr>
          <w:rFonts w:eastAsia="微软雅黑"/>
          <w:kern w:val="0"/>
          <w:sz w:val="20"/>
          <w:szCs w:val="20"/>
          <w:lang w:val="en-GB"/>
        </w:rPr>
        <w:t>）</w:t>
      </w:r>
    </w:p>
    <w:p w14:paraId="4636ED7A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/>
        </w:rPr>
        <w:t>江西省质量与标准化研究院特聘</w:t>
      </w:r>
      <w:r w:rsidRPr="00307730">
        <w:rPr>
          <w:rFonts w:eastAsia="微软雅黑"/>
          <w:kern w:val="0"/>
          <w:sz w:val="20"/>
          <w:szCs w:val="20"/>
          <w:lang w:val="en-GB"/>
        </w:rPr>
        <w:t>“</w:t>
      </w:r>
      <w:r w:rsidRPr="00307730">
        <w:rPr>
          <w:rFonts w:eastAsia="微软雅黑"/>
          <w:kern w:val="0"/>
          <w:sz w:val="20"/>
          <w:szCs w:val="20"/>
          <w:lang w:val="en-GB"/>
        </w:rPr>
        <w:t>低碳顾问</w:t>
      </w:r>
      <w:r w:rsidRPr="00307730">
        <w:rPr>
          <w:rFonts w:eastAsia="微软雅黑"/>
          <w:kern w:val="0"/>
          <w:sz w:val="20"/>
          <w:szCs w:val="20"/>
          <w:lang w:val="en-GB"/>
        </w:rPr>
        <w:t>”</w:t>
      </w:r>
    </w:p>
    <w:p w14:paraId="44413C6F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CCAA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注册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ISO 9001</w:t>
      </w:r>
      <w:r w:rsidRPr="00A647AF">
        <w:rPr>
          <w:rFonts w:eastAsia="微软雅黑"/>
          <w:kern w:val="0"/>
          <w:sz w:val="20"/>
          <w:szCs w:val="20"/>
          <w:lang w:val="en-GB" w:eastAsia="de-DE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ISO 14001</w:t>
      </w:r>
      <w:r w:rsidRPr="00A647AF">
        <w:rPr>
          <w:rFonts w:eastAsia="微软雅黑"/>
          <w:kern w:val="0"/>
          <w:sz w:val="20"/>
          <w:szCs w:val="20"/>
          <w:lang w:val="en-GB" w:eastAsia="de-DE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ISO 45001</w:t>
      </w:r>
      <w:r w:rsidRPr="00A647AF">
        <w:rPr>
          <w:rFonts w:eastAsia="微软雅黑"/>
          <w:kern w:val="0"/>
          <w:sz w:val="20"/>
          <w:szCs w:val="20"/>
          <w:lang w:val="en-GB" w:eastAsia="de-DE"/>
        </w:rPr>
        <w:t>、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ISO 50001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审核员</w:t>
      </w:r>
    </w:p>
    <w:p w14:paraId="15B8435F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ISO14064-1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及</w:t>
      </w:r>
      <w:r w:rsidRPr="00307730">
        <w:rPr>
          <w:rFonts w:eastAsia="微软雅黑"/>
          <w:kern w:val="0"/>
          <w:sz w:val="20"/>
          <w:szCs w:val="20"/>
          <w:lang w:val="en-GB"/>
        </w:rPr>
        <w:t>ISO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 xml:space="preserve"> </w:t>
      </w:r>
      <w:r w:rsidRPr="00307730">
        <w:rPr>
          <w:rFonts w:eastAsia="微软雅黑"/>
          <w:kern w:val="0"/>
          <w:sz w:val="20"/>
          <w:szCs w:val="20"/>
          <w:lang w:val="en-GB"/>
        </w:rPr>
        <w:t>14067/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PAS 2060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主任核查员及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CSR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实践者</w:t>
      </w:r>
    </w:p>
    <w:p w14:paraId="58FD4D35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A647AF">
        <w:rPr>
          <w:rFonts w:eastAsia="微软雅黑"/>
          <w:kern w:val="0"/>
          <w:sz w:val="20"/>
          <w:szCs w:val="20"/>
          <w:lang w:val="en-GB"/>
        </w:rPr>
        <w:t>曾任：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通</w:t>
      </w:r>
      <w:proofErr w:type="gramStart"/>
      <w:r w:rsidRPr="00307730">
        <w:rPr>
          <w:rFonts w:eastAsia="微软雅黑"/>
          <w:kern w:val="0"/>
          <w:sz w:val="20"/>
          <w:szCs w:val="20"/>
          <w:lang w:val="en-GB" w:eastAsia="de-DE"/>
        </w:rPr>
        <w:t>标</w:t>
      </w:r>
      <w:proofErr w:type="gramEnd"/>
      <w:r w:rsidRPr="00307730">
        <w:rPr>
          <w:rFonts w:eastAsia="微软雅黑"/>
          <w:kern w:val="0"/>
          <w:sz w:val="20"/>
          <w:szCs w:val="20"/>
          <w:lang w:val="en-GB" w:eastAsia="de-DE"/>
        </w:rPr>
        <w:t>标准技术服务有限公司（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SGS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）</w:t>
      </w:r>
      <w:r w:rsidRPr="00307730">
        <w:rPr>
          <w:rFonts w:eastAsia="微软雅黑"/>
          <w:kern w:val="0"/>
          <w:sz w:val="20"/>
          <w:szCs w:val="20"/>
          <w:lang w:val="en-GB"/>
        </w:rPr>
        <w:t>杭州分公司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主任审核员</w:t>
      </w:r>
    </w:p>
    <w:p w14:paraId="0887BEDA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英国标准协会（</w:t>
      </w:r>
      <w:r w:rsidRPr="00A647AF">
        <w:rPr>
          <w:rFonts w:eastAsia="微软雅黑"/>
          <w:kern w:val="0"/>
          <w:sz w:val="20"/>
          <w:szCs w:val="20"/>
          <w:lang w:val="en-GB"/>
        </w:rPr>
        <w:t>BSI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）可持续发展</w:t>
      </w:r>
      <w:r w:rsidRPr="00A647AF">
        <w:rPr>
          <w:rFonts w:eastAsia="微软雅黑"/>
          <w:kern w:val="0"/>
          <w:sz w:val="20"/>
          <w:szCs w:val="20"/>
          <w:lang w:val="en-GB"/>
        </w:rPr>
        <w:t>（</w:t>
      </w:r>
      <w:r w:rsidRPr="00A647AF">
        <w:rPr>
          <w:rFonts w:eastAsia="微软雅黑"/>
          <w:kern w:val="0"/>
          <w:sz w:val="20"/>
          <w:szCs w:val="20"/>
          <w:lang w:val="en-GB"/>
        </w:rPr>
        <w:t>ESG</w:t>
      </w:r>
      <w:r w:rsidRPr="00A647AF">
        <w:rPr>
          <w:rFonts w:eastAsia="微软雅黑"/>
          <w:kern w:val="0"/>
          <w:sz w:val="20"/>
          <w:szCs w:val="20"/>
          <w:lang w:val="en-GB"/>
        </w:rPr>
        <w:t>）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技术经理</w:t>
      </w:r>
    </w:p>
    <w:p w14:paraId="5AB16771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307730">
        <w:rPr>
          <w:rFonts w:eastAsia="微软雅黑"/>
          <w:kern w:val="0"/>
          <w:sz w:val="20"/>
          <w:szCs w:val="20"/>
          <w:lang w:val="en-GB" w:eastAsia="de-DE"/>
        </w:rPr>
        <w:t>美国可持续发展社区协会（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ISC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）亚洲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EHS</w:t>
      </w:r>
      <w:r w:rsidRPr="00307730">
        <w:rPr>
          <w:rFonts w:eastAsia="微软雅黑"/>
          <w:kern w:val="0"/>
          <w:sz w:val="20"/>
          <w:szCs w:val="20"/>
          <w:lang w:val="en-GB" w:eastAsia="de-DE"/>
        </w:rPr>
        <w:t>技术总监</w:t>
      </w:r>
    </w:p>
    <w:p w14:paraId="62DA475F" w14:textId="77777777" w:rsidR="008178D4" w:rsidRPr="00A647AF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  <w:r w:rsidRPr="00A647AF">
        <w:rPr>
          <w:rFonts w:eastAsia="微软雅黑"/>
          <w:kern w:val="0"/>
          <w:sz w:val="20"/>
          <w:szCs w:val="20"/>
          <w:lang w:val="en-GB"/>
        </w:rPr>
        <w:t>TUV</w:t>
      </w:r>
      <w:r w:rsidRPr="00A647AF">
        <w:rPr>
          <w:rFonts w:eastAsia="微软雅黑"/>
          <w:kern w:val="0"/>
          <w:sz w:val="20"/>
          <w:szCs w:val="20"/>
          <w:lang w:val="en-GB"/>
        </w:rPr>
        <w:t>南德</w:t>
      </w:r>
      <w:r w:rsidRPr="00A647AF">
        <w:rPr>
          <w:rFonts w:eastAsia="微软雅黑"/>
          <w:kern w:val="0"/>
          <w:sz w:val="20"/>
          <w:szCs w:val="20"/>
          <w:lang w:val="en-GB"/>
        </w:rPr>
        <w:t>/BV</w:t>
      </w:r>
      <w:proofErr w:type="gramStart"/>
      <w:r w:rsidRPr="00A647AF">
        <w:rPr>
          <w:rFonts w:eastAsia="微软雅黑"/>
          <w:kern w:val="0"/>
          <w:sz w:val="20"/>
          <w:szCs w:val="20"/>
          <w:lang w:val="en-GB"/>
        </w:rPr>
        <w:t>必维认证</w:t>
      </w:r>
      <w:proofErr w:type="gramEnd"/>
      <w:r w:rsidRPr="00A647AF">
        <w:rPr>
          <w:rFonts w:eastAsia="微软雅黑"/>
          <w:kern w:val="0"/>
          <w:sz w:val="20"/>
          <w:szCs w:val="20"/>
          <w:lang w:val="en-GB"/>
        </w:rPr>
        <w:t>特聘讲师</w:t>
      </w:r>
    </w:p>
    <w:p w14:paraId="6AF0E1DF" w14:textId="77777777" w:rsidR="008178D4" w:rsidRPr="00307730" w:rsidRDefault="008178D4" w:rsidP="008178D4">
      <w:pPr>
        <w:widowControl/>
        <w:pBdr>
          <w:bottom w:val="single" w:sz="6" w:space="1" w:color="auto"/>
        </w:pBdr>
        <w:tabs>
          <w:tab w:val="center" w:pos="4153"/>
          <w:tab w:val="right" w:pos="8306"/>
        </w:tabs>
        <w:snapToGrid w:val="0"/>
        <w:spacing w:line="360" w:lineRule="exact"/>
        <w:ind w:firstLineChars="200" w:firstLine="400"/>
        <w:jc w:val="left"/>
        <w:rPr>
          <w:rFonts w:eastAsia="微软雅黑"/>
          <w:kern w:val="0"/>
          <w:sz w:val="20"/>
          <w:szCs w:val="20"/>
          <w:lang w:val="en-GB"/>
        </w:rPr>
      </w:pPr>
    </w:p>
    <w:p w14:paraId="36162A76" w14:textId="77777777" w:rsidR="008178D4" w:rsidRPr="00307730" w:rsidRDefault="008178D4" w:rsidP="008178D4">
      <w:pPr>
        <w:spacing w:line="360" w:lineRule="exact"/>
        <w:ind w:firstLine="0"/>
        <w:rPr>
          <w:rFonts w:eastAsia="微软雅黑"/>
          <w:b/>
          <w:bCs/>
          <w:sz w:val="20"/>
          <w:szCs w:val="20"/>
        </w:rPr>
      </w:pPr>
      <w:r w:rsidRPr="00307730">
        <w:rPr>
          <w:rFonts w:eastAsia="微软雅黑"/>
          <w:b/>
          <w:bCs/>
          <w:sz w:val="20"/>
          <w:szCs w:val="20"/>
        </w:rPr>
        <w:t>服务客户</w:t>
      </w:r>
    </w:p>
    <w:p w14:paraId="0B67D3DA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ESG</w:t>
      </w:r>
      <w:r w:rsidRPr="00307730">
        <w:rPr>
          <w:rFonts w:eastAsia="微软雅黑"/>
          <w:sz w:val="20"/>
          <w:szCs w:val="20"/>
        </w:rPr>
        <w:t>：西交利物浦大学国际商学院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  <w:lang w:val="en-GB"/>
        </w:rPr>
        <w:t>TUV</w:t>
      </w:r>
      <w:r w:rsidRPr="00307730">
        <w:rPr>
          <w:rFonts w:eastAsia="微软雅黑"/>
          <w:sz w:val="20"/>
          <w:szCs w:val="20"/>
          <w:lang w:val="en-GB"/>
        </w:rPr>
        <w:t>南德认证</w:t>
      </w:r>
      <w:r w:rsidRPr="00A647AF">
        <w:rPr>
          <w:rFonts w:eastAsia="微软雅黑"/>
          <w:sz w:val="20"/>
          <w:szCs w:val="20"/>
          <w:lang w:val="en-GB"/>
        </w:rPr>
        <w:t>、</w:t>
      </w:r>
      <w:r w:rsidRPr="00307730">
        <w:rPr>
          <w:rFonts w:eastAsia="微软雅黑"/>
          <w:sz w:val="20"/>
          <w:szCs w:val="20"/>
          <w:lang w:val="en-GB"/>
        </w:rPr>
        <w:t>BV</w:t>
      </w:r>
      <w:proofErr w:type="gramStart"/>
      <w:r w:rsidRPr="00307730">
        <w:rPr>
          <w:rFonts w:eastAsia="微软雅黑"/>
          <w:sz w:val="20"/>
          <w:szCs w:val="20"/>
          <w:lang w:val="en-GB"/>
        </w:rPr>
        <w:t>必维认证</w:t>
      </w:r>
      <w:proofErr w:type="gramEnd"/>
      <w:r w:rsidRPr="00A647AF">
        <w:rPr>
          <w:rFonts w:eastAsia="微软雅黑"/>
          <w:sz w:val="20"/>
          <w:szCs w:val="20"/>
          <w:lang w:val="en-GB"/>
        </w:rPr>
        <w:t>、</w:t>
      </w:r>
      <w:r w:rsidRPr="00307730">
        <w:rPr>
          <w:rFonts w:eastAsia="微软雅黑"/>
          <w:sz w:val="20"/>
          <w:szCs w:val="20"/>
        </w:rPr>
        <w:t>万泰认证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安美特（中国）化学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东方日升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  <w:lang w:val="en-GB"/>
        </w:rPr>
        <w:t>永杉锂</w:t>
      </w:r>
      <w:proofErr w:type="gramEnd"/>
      <w:r w:rsidRPr="00307730">
        <w:rPr>
          <w:rFonts w:eastAsia="微软雅黑"/>
          <w:sz w:val="20"/>
          <w:szCs w:val="20"/>
          <w:lang w:val="en-GB"/>
        </w:rPr>
        <w:t>业</w:t>
      </w:r>
      <w:r w:rsidRPr="00A647AF">
        <w:rPr>
          <w:rFonts w:eastAsia="微软雅黑"/>
          <w:sz w:val="20"/>
          <w:szCs w:val="20"/>
          <w:lang w:val="en-GB"/>
        </w:rPr>
        <w:t>、</w:t>
      </w:r>
      <w:r w:rsidRPr="00307730">
        <w:rPr>
          <w:rFonts w:eastAsia="微软雅黑"/>
          <w:sz w:val="20"/>
          <w:szCs w:val="20"/>
        </w:rPr>
        <w:t>阳光能源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安柯威汽车部件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香港新宇环保集团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德国</w:t>
      </w:r>
      <w:r w:rsidRPr="00307730">
        <w:rPr>
          <w:rFonts w:eastAsia="微软雅黑"/>
          <w:sz w:val="20"/>
          <w:szCs w:val="20"/>
        </w:rPr>
        <w:t>Brugger GmbH</w:t>
      </w:r>
      <w:r w:rsidRPr="00307730">
        <w:rPr>
          <w:rFonts w:eastAsia="微软雅黑"/>
          <w:sz w:val="20"/>
          <w:szCs w:val="20"/>
        </w:rPr>
        <w:t>中国供应链。</w:t>
      </w:r>
    </w:p>
    <w:p w14:paraId="293703A6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合</w:t>
      </w:r>
      <w:proofErr w:type="gramStart"/>
      <w:r w:rsidRPr="00307730">
        <w:rPr>
          <w:rFonts w:eastAsia="微软雅黑"/>
          <w:sz w:val="20"/>
          <w:szCs w:val="20"/>
        </w:rPr>
        <w:t>规</w:t>
      </w:r>
      <w:proofErr w:type="gramEnd"/>
      <w:r w:rsidRPr="00307730">
        <w:rPr>
          <w:rFonts w:eastAsia="微软雅黑"/>
          <w:sz w:val="20"/>
          <w:szCs w:val="20"/>
        </w:rPr>
        <w:t>管理</w:t>
      </w:r>
      <w:r w:rsidRPr="00307730">
        <w:rPr>
          <w:rFonts w:eastAsia="微软雅黑"/>
          <w:sz w:val="20"/>
          <w:szCs w:val="20"/>
        </w:rPr>
        <w:t>/ISO 37301</w:t>
      </w:r>
      <w:r w:rsidRPr="00307730">
        <w:rPr>
          <w:rFonts w:eastAsia="微软雅黑"/>
          <w:sz w:val="20"/>
          <w:szCs w:val="20"/>
        </w:rPr>
        <w:t>：四川天府投资集团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迅达电梯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赢创集团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费列罗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星火化工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利纳认证。</w:t>
      </w:r>
    </w:p>
    <w:p w14:paraId="3E93CCA6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产品碳足迹</w:t>
      </w:r>
      <w:r w:rsidRPr="00307730">
        <w:rPr>
          <w:rFonts w:eastAsia="微软雅黑"/>
          <w:sz w:val="20"/>
          <w:szCs w:val="20"/>
        </w:rPr>
        <w:t>/ISO 14067</w:t>
      </w:r>
      <w:r w:rsidRPr="00307730">
        <w:rPr>
          <w:rFonts w:eastAsia="微软雅黑"/>
          <w:sz w:val="20"/>
          <w:szCs w:val="20"/>
        </w:rPr>
        <w:t>：广东省标准化研究院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西门子集团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宝钢股份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宝武碳业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上汽集团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  <w:lang w:val="en-GB"/>
        </w:rPr>
        <w:t xml:space="preserve">TUV </w:t>
      </w:r>
      <w:r w:rsidRPr="00307730">
        <w:rPr>
          <w:rFonts w:eastAsia="微软雅黑"/>
          <w:sz w:val="20"/>
          <w:szCs w:val="20"/>
          <w:lang w:val="en-GB"/>
        </w:rPr>
        <w:t>南德</w:t>
      </w:r>
      <w:r w:rsidRPr="00A647AF">
        <w:rPr>
          <w:rFonts w:eastAsia="微软雅黑"/>
          <w:sz w:val="20"/>
          <w:szCs w:val="20"/>
          <w:lang w:val="en-GB"/>
        </w:rPr>
        <w:t>、</w:t>
      </w:r>
      <w:hyperlink r:id="rId9" w:tgtFrame="_blank" w:history="1">
        <w:r w:rsidRPr="00307730">
          <w:rPr>
            <w:rFonts w:eastAsia="微软雅黑"/>
            <w:sz w:val="20"/>
            <w:szCs w:val="20"/>
          </w:rPr>
          <w:t>哈斯基石油</w:t>
        </w:r>
      </w:hyperlink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博</w:t>
      </w:r>
      <w:proofErr w:type="gramStart"/>
      <w:r w:rsidRPr="00307730">
        <w:rPr>
          <w:rFonts w:eastAsia="微软雅黑"/>
          <w:sz w:val="20"/>
          <w:szCs w:val="20"/>
        </w:rPr>
        <w:t>世</w:t>
      </w:r>
      <w:proofErr w:type="gramEnd"/>
      <w:r w:rsidRPr="00307730">
        <w:rPr>
          <w:rFonts w:eastAsia="微软雅黑"/>
          <w:sz w:val="20"/>
          <w:szCs w:val="20"/>
        </w:rPr>
        <w:t>（中国）投资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舍弗勒投资（中国）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安美特（中国）化学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力神电池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微宏动力系统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光束汽车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港华能源集团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阿法拉伐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天津能源集团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泰</w:t>
      </w:r>
      <w:proofErr w:type="gramStart"/>
      <w:r w:rsidRPr="00307730">
        <w:rPr>
          <w:rFonts w:eastAsia="微软雅黑"/>
          <w:sz w:val="20"/>
          <w:szCs w:val="20"/>
        </w:rPr>
        <w:t>柯</w:t>
      </w:r>
      <w:proofErr w:type="gramEnd"/>
      <w:r w:rsidRPr="00307730">
        <w:rPr>
          <w:rFonts w:eastAsia="微软雅黑"/>
          <w:sz w:val="20"/>
          <w:szCs w:val="20"/>
        </w:rPr>
        <w:t>棕化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欧冶工业品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捷昌驱动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日东新材料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江南铝业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楚能新能源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仙乐健康等。</w:t>
      </w:r>
    </w:p>
    <w:p w14:paraId="471ED1DF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组织碳足迹</w:t>
      </w:r>
      <w:r w:rsidRPr="00307730">
        <w:rPr>
          <w:rFonts w:eastAsia="微软雅黑"/>
          <w:sz w:val="20"/>
          <w:szCs w:val="20"/>
        </w:rPr>
        <w:t>/ISO 14064</w:t>
      </w:r>
      <w:r w:rsidRPr="00307730">
        <w:rPr>
          <w:rFonts w:eastAsia="微软雅黑"/>
          <w:sz w:val="20"/>
          <w:szCs w:val="20"/>
        </w:rPr>
        <w:t>：国家科技部</w:t>
      </w:r>
      <w:r w:rsidRPr="00307730">
        <w:rPr>
          <w:rFonts w:eastAsia="微软雅黑"/>
          <w:sz w:val="20"/>
          <w:szCs w:val="20"/>
        </w:rPr>
        <w:t>21</w:t>
      </w:r>
      <w:r w:rsidRPr="00307730">
        <w:rPr>
          <w:rFonts w:eastAsia="微软雅黑"/>
          <w:sz w:val="20"/>
          <w:szCs w:val="20"/>
        </w:rPr>
        <w:t>世纪议程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宝钢股份</w:t>
      </w:r>
      <w:r w:rsidRPr="00A647AF">
        <w:rPr>
          <w:rFonts w:eastAsia="微软雅黑"/>
          <w:sz w:val="20"/>
          <w:szCs w:val="20"/>
        </w:rPr>
        <w:t>、</w:t>
      </w:r>
      <w:proofErr w:type="spellStart"/>
      <w:r w:rsidRPr="00307730">
        <w:rPr>
          <w:rFonts w:eastAsia="微软雅黑"/>
          <w:sz w:val="20"/>
          <w:szCs w:val="20"/>
        </w:rPr>
        <w:t>Dun&amp;Bradstreet</w:t>
      </w:r>
      <w:proofErr w:type="spellEnd"/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江西省质标院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安美特（中国）化学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  <w:lang w:val="en-GB"/>
        </w:rPr>
        <w:t xml:space="preserve">TUV </w:t>
      </w:r>
      <w:r w:rsidRPr="00307730">
        <w:rPr>
          <w:rFonts w:eastAsia="微软雅黑"/>
          <w:sz w:val="20"/>
          <w:szCs w:val="20"/>
          <w:lang w:val="en-GB"/>
        </w:rPr>
        <w:t>南德</w:t>
      </w:r>
      <w:r w:rsidRPr="00A647AF">
        <w:rPr>
          <w:rFonts w:eastAsia="微软雅黑"/>
          <w:sz w:val="20"/>
          <w:szCs w:val="20"/>
          <w:lang w:val="en-GB"/>
        </w:rPr>
        <w:t>、</w:t>
      </w:r>
      <w:r w:rsidRPr="00307730">
        <w:rPr>
          <w:rFonts w:eastAsia="微软雅黑"/>
          <w:sz w:val="20"/>
          <w:szCs w:val="20"/>
        </w:rPr>
        <w:t>华润微电子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泰</w:t>
      </w:r>
      <w:proofErr w:type="gramStart"/>
      <w:r w:rsidRPr="00307730">
        <w:rPr>
          <w:rFonts w:eastAsia="微软雅黑"/>
          <w:sz w:val="20"/>
          <w:szCs w:val="20"/>
        </w:rPr>
        <w:t>柯</w:t>
      </w:r>
      <w:proofErr w:type="gramEnd"/>
      <w:r w:rsidRPr="00307730">
        <w:rPr>
          <w:rFonts w:eastAsia="微软雅黑"/>
          <w:sz w:val="20"/>
          <w:szCs w:val="20"/>
        </w:rPr>
        <w:t>棕化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安利（中国）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力神电池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微宏动力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人本集团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新创碳谷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Nitto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中</w:t>
      </w:r>
      <w:proofErr w:type="gramStart"/>
      <w:r w:rsidRPr="00307730">
        <w:rPr>
          <w:rFonts w:eastAsia="微软雅黑"/>
          <w:sz w:val="20"/>
          <w:szCs w:val="20"/>
        </w:rPr>
        <w:t>磊</w:t>
      </w:r>
      <w:proofErr w:type="gramEnd"/>
      <w:r w:rsidRPr="00307730">
        <w:rPr>
          <w:rFonts w:eastAsia="微软雅黑"/>
          <w:sz w:val="20"/>
          <w:szCs w:val="20"/>
        </w:rPr>
        <w:t>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天合光能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正泰太阳能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天津能源集团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泰达低碳中心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万泰认证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重庆低碳中心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楚能新能源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仙乐健康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宏明双新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中芯国际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中达电子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瑞仪光电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广兴电子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富士康科技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健鼎电子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瑞安房地产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多乐彩建材等。</w:t>
      </w:r>
    </w:p>
    <w:p w14:paraId="0466427D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ISO 14068</w:t>
      </w:r>
      <w:r w:rsidRPr="00307730">
        <w:rPr>
          <w:rFonts w:eastAsia="微软雅黑"/>
          <w:sz w:val="20"/>
          <w:szCs w:val="20"/>
        </w:rPr>
        <w:t>碳中和</w:t>
      </w:r>
      <w:r w:rsidRPr="00307730">
        <w:rPr>
          <w:rFonts w:eastAsia="微软雅黑"/>
          <w:sz w:val="20"/>
          <w:szCs w:val="20"/>
        </w:rPr>
        <w:t>/PAS 2060</w:t>
      </w:r>
      <w:r w:rsidRPr="00307730">
        <w:rPr>
          <w:rFonts w:eastAsia="微软雅黑"/>
          <w:sz w:val="20"/>
          <w:szCs w:val="20"/>
        </w:rPr>
        <w:t>：广东省标准化研究院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江西省质标院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欧冶工业品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TUV</w:t>
      </w:r>
      <w:r w:rsidRPr="00307730">
        <w:rPr>
          <w:rFonts w:eastAsia="微软雅黑"/>
          <w:sz w:val="20"/>
          <w:szCs w:val="20"/>
        </w:rPr>
        <w:t>南德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天津泰达低碳中心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日东新材料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济丰纸业</w:t>
      </w:r>
      <w:proofErr w:type="gramEnd"/>
      <w:r w:rsidRPr="00307730">
        <w:rPr>
          <w:rFonts w:eastAsia="微软雅黑"/>
          <w:sz w:val="20"/>
          <w:szCs w:val="20"/>
        </w:rPr>
        <w:t>。</w:t>
      </w:r>
    </w:p>
    <w:p w14:paraId="62116D28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能源管理</w:t>
      </w:r>
      <w:r w:rsidRPr="00307730">
        <w:rPr>
          <w:rFonts w:eastAsia="微软雅黑"/>
          <w:sz w:val="20"/>
          <w:szCs w:val="20"/>
        </w:rPr>
        <w:t>/ISO 50001</w:t>
      </w:r>
      <w:r w:rsidRPr="00307730">
        <w:rPr>
          <w:rFonts w:eastAsia="微软雅黑"/>
          <w:sz w:val="20"/>
          <w:szCs w:val="20"/>
        </w:rPr>
        <w:t>：安美特（中国）化学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达索析统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麦格纳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赛科利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宝武集团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宝钢股份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宝钢化工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赢创集团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路博润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泛亚气体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伟创资通</w:t>
      </w:r>
      <w:proofErr w:type="gramEnd"/>
      <w:r w:rsidRPr="00A647AF">
        <w:rPr>
          <w:rFonts w:eastAsia="微软雅黑"/>
          <w:sz w:val="20"/>
          <w:szCs w:val="20"/>
        </w:rPr>
        <w:t>、</w:t>
      </w:r>
      <w:bookmarkStart w:id="10" w:name="_Hlk82867659"/>
      <w:r w:rsidRPr="00307730">
        <w:rPr>
          <w:rFonts w:eastAsia="微软雅黑"/>
          <w:sz w:val="20"/>
          <w:szCs w:val="20"/>
        </w:rPr>
        <w:t>东丽酒伊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NSK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Nitto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远纺工业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中法水</w:t>
      </w:r>
      <w:proofErr w:type="gramStart"/>
      <w:r w:rsidRPr="00307730">
        <w:rPr>
          <w:rFonts w:eastAsia="微软雅黑"/>
          <w:sz w:val="20"/>
          <w:szCs w:val="20"/>
        </w:rPr>
        <w:t>务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新创碳谷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中国印钞</w:t>
      </w:r>
      <w:bookmarkEnd w:id="10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首都机场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国家电网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邦普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安利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费列罗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不凡</w:t>
      </w:r>
      <w:proofErr w:type="gramStart"/>
      <w:r w:rsidRPr="00307730">
        <w:rPr>
          <w:rFonts w:eastAsia="微软雅黑"/>
          <w:sz w:val="20"/>
          <w:szCs w:val="20"/>
        </w:rPr>
        <w:t>帝</w:t>
      </w:r>
      <w:proofErr w:type="gramEnd"/>
      <w:r w:rsidRPr="00307730">
        <w:rPr>
          <w:rFonts w:eastAsia="微软雅黑"/>
          <w:sz w:val="20"/>
          <w:szCs w:val="20"/>
        </w:rPr>
        <w:t>范梅勒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仙乐健康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伊品生物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吉林烟草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中烟南通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日升新能源等。</w:t>
      </w:r>
    </w:p>
    <w:p w14:paraId="519576C4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CBAM</w:t>
      </w:r>
      <w:r w:rsidRPr="00307730">
        <w:rPr>
          <w:rFonts w:eastAsia="微软雅黑"/>
          <w:sz w:val="20"/>
          <w:szCs w:val="20"/>
        </w:rPr>
        <w:t>：嘉兴宇星紧固件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上海奥达科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浙江君悦标准件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嘉兴兄弟标准件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嘉兴晋龙汽车</w:t>
      </w:r>
      <w:proofErr w:type="gramEnd"/>
      <w:r w:rsidRPr="00307730">
        <w:rPr>
          <w:rFonts w:eastAsia="微软雅黑"/>
          <w:sz w:val="20"/>
          <w:szCs w:val="20"/>
        </w:rPr>
        <w:t>部件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海盐宏茂五金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博尔</w:t>
      </w:r>
      <w:proofErr w:type="gramStart"/>
      <w:r w:rsidRPr="00307730">
        <w:rPr>
          <w:rFonts w:eastAsia="微软雅黑"/>
          <w:sz w:val="20"/>
          <w:szCs w:val="20"/>
        </w:rPr>
        <w:t>曼</w:t>
      </w:r>
      <w:proofErr w:type="gramEnd"/>
      <w:r w:rsidRPr="00307730">
        <w:rPr>
          <w:rFonts w:eastAsia="微软雅黑"/>
          <w:sz w:val="20"/>
          <w:szCs w:val="20"/>
        </w:rPr>
        <w:t>工业品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大叶园林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浙江意泰机械科技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嘉恒金属制品</w:t>
      </w:r>
      <w:proofErr w:type="gramEnd"/>
      <w:r w:rsidRPr="00307730">
        <w:rPr>
          <w:rFonts w:eastAsia="微软雅黑"/>
          <w:sz w:val="20"/>
          <w:szCs w:val="20"/>
        </w:rPr>
        <w:t>。</w:t>
      </w:r>
    </w:p>
    <w:p w14:paraId="6DFA11DF" w14:textId="77777777" w:rsidR="008178D4" w:rsidRPr="00307730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t>环境管理</w:t>
      </w:r>
      <w:r w:rsidRPr="00307730">
        <w:rPr>
          <w:rFonts w:eastAsia="微软雅黑"/>
          <w:sz w:val="20"/>
          <w:szCs w:val="20"/>
        </w:rPr>
        <w:t>/ISO 14001</w:t>
      </w:r>
      <w:r w:rsidRPr="00307730">
        <w:rPr>
          <w:rFonts w:eastAsia="微软雅黑"/>
          <w:sz w:val="20"/>
          <w:szCs w:val="20"/>
        </w:rPr>
        <w:t>：</w:t>
      </w:r>
      <w:proofErr w:type="gramStart"/>
      <w:r w:rsidRPr="00307730">
        <w:rPr>
          <w:rFonts w:eastAsia="微软雅黑"/>
          <w:sz w:val="20"/>
          <w:szCs w:val="20"/>
        </w:rPr>
        <w:t>英飞凌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广州本田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瓦锡兰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戴卡股份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帝斯</w:t>
      </w:r>
      <w:proofErr w:type="gramStart"/>
      <w:r w:rsidRPr="00307730">
        <w:rPr>
          <w:rFonts w:eastAsia="微软雅黑"/>
          <w:sz w:val="20"/>
          <w:szCs w:val="20"/>
        </w:rPr>
        <w:t>曼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惠普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雀巢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特百惠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欧姆龙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TDK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新创碳谷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青稞酒股份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嘉吉食品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网易精选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东方日升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景兴纸业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南都集团等。</w:t>
      </w:r>
    </w:p>
    <w:p w14:paraId="2D8C7B98" w14:textId="77777777" w:rsidR="008178D4" w:rsidRPr="00A647AF" w:rsidRDefault="008178D4" w:rsidP="008178D4">
      <w:pPr>
        <w:widowControl/>
        <w:numPr>
          <w:ilvl w:val="1"/>
          <w:numId w:val="28"/>
        </w:numPr>
        <w:adjustRightInd w:val="0"/>
        <w:snapToGrid w:val="0"/>
        <w:spacing w:line="360" w:lineRule="exact"/>
        <w:ind w:left="420"/>
        <w:jc w:val="left"/>
        <w:rPr>
          <w:rFonts w:eastAsia="微软雅黑"/>
          <w:sz w:val="20"/>
          <w:szCs w:val="20"/>
        </w:rPr>
      </w:pPr>
      <w:r w:rsidRPr="00307730">
        <w:rPr>
          <w:rFonts w:eastAsia="微软雅黑"/>
          <w:sz w:val="20"/>
          <w:szCs w:val="20"/>
        </w:rPr>
        <w:lastRenderedPageBreak/>
        <w:t>职业健康安全管理</w:t>
      </w:r>
      <w:r w:rsidRPr="00307730">
        <w:rPr>
          <w:rFonts w:eastAsia="微软雅黑"/>
          <w:sz w:val="20"/>
          <w:szCs w:val="20"/>
        </w:rPr>
        <w:t>/ISO 45001</w:t>
      </w:r>
      <w:r w:rsidRPr="00307730">
        <w:rPr>
          <w:rFonts w:eastAsia="微软雅黑"/>
          <w:sz w:val="20"/>
          <w:szCs w:val="20"/>
        </w:rPr>
        <w:t>：</w:t>
      </w:r>
      <w:proofErr w:type="gramStart"/>
      <w:r w:rsidRPr="00307730">
        <w:rPr>
          <w:rFonts w:eastAsia="微软雅黑"/>
          <w:sz w:val="20"/>
          <w:szCs w:val="20"/>
        </w:rPr>
        <w:t>英飞凌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博格华纳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瓦锡兰发动机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戴卡股份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丹纳赫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芬美意集团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苏伊士环境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罗盖特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艾菲而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康明斯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AT&amp;S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施耐德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日本航空电子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关东电子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健准集团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雀巢集团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新创碳谷</w:t>
      </w:r>
      <w:r w:rsidRPr="00A647AF">
        <w:rPr>
          <w:rFonts w:eastAsia="微软雅黑"/>
          <w:sz w:val="20"/>
          <w:szCs w:val="20"/>
        </w:rPr>
        <w:t>、</w:t>
      </w:r>
      <w:proofErr w:type="gramStart"/>
      <w:r w:rsidRPr="00307730">
        <w:rPr>
          <w:rFonts w:eastAsia="微软雅黑"/>
          <w:sz w:val="20"/>
          <w:szCs w:val="20"/>
        </w:rPr>
        <w:t>君乐宝</w:t>
      </w:r>
      <w:proofErr w:type="gramEnd"/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春风动力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日升新能源</w:t>
      </w:r>
      <w:r w:rsidRPr="00A647AF">
        <w:rPr>
          <w:rFonts w:eastAsia="微软雅黑"/>
          <w:sz w:val="20"/>
          <w:szCs w:val="20"/>
        </w:rPr>
        <w:t>、</w:t>
      </w:r>
      <w:r w:rsidRPr="00307730">
        <w:rPr>
          <w:rFonts w:eastAsia="微软雅黑"/>
          <w:sz w:val="20"/>
          <w:szCs w:val="20"/>
        </w:rPr>
        <w:t>景兴纸业等。</w:t>
      </w:r>
    </w:p>
    <w:p w14:paraId="28E976CC" w14:textId="77777777" w:rsidR="008178D4" w:rsidRPr="008178D4" w:rsidRDefault="008178D4" w:rsidP="008178D4">
      <w:pPr>
        <w:adjustRightInd w:val="0"/>
        <w:snapToGrid w:val="0"/>
        <w:spacing w:line="300" w:lineRule="auto"/>
        <w:ind w:left="360" w:firstLine="0"/>
        <w:rPr>
          <w:rStyle w:val="a7"/>
          <w:rFonts w:ascii="微软雅黑" w:eastAsia="微软雅黑" w:hAnsi="微软雅黑" w:hint="eastAsia"/>
          <w:bCs w:val="0"/>
          <w:smallCaps w:val="0"/>
          <w:color w:val="003399"/>
          <w:szCs w:val="21"/>
        </w:rPr>
      </w:pPr>
    </w:p>
    <w:p w14:paraId="450E50A6" w14:textId="19E56BC3" w:rsidR="008178D4" w:rsidRPr="008178D4" w:rsidRDefault="008178D4" w:rsidP="008178D4">
      <w:pPr>
        <w:adjustRightInd w:val="0"/>
        <w:snapToGrid w:val="0"/>
        <w:spacing w:line="300" w:lineRule="auto"/>
        <w:rPr>
          <w:rFonts w:eastAsia="微软雅黑" w:hint="eastAsia"/>
          <w:b/>
          <w:bCs/>
          <w:color w:val="002060"/>
          <w:sz w:val="20"/>
          <w:szCs w:val="20"/>
        </w:rPr>
      </w:pPr>
    </w:p>
    <w:sectPr w:rsidR="008178D4" w:rsidRPr="008178D4" w:rsidSect="00AD205B">
      <w:headerReference w:type="default" r:id="rId10"/>
      <w:footerReference w:type="default" r:id="rId11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5DFC" w14:textId="77777777" w:rsidR="00AF126E" w:rsidRDefault="00AF126E" w:rsidP="00AD205B">
      <w:r>
        <w:separator/>
      </w:r>
    </w:p>
  </w:endnote>
  <w:endnote w:type="continuationSeparator" w:id="0">
    <w:p w14:paraId="7AD369FE" w14:textId="77777777" w:rsidR="00AF126E" w:rsidRDefault="00AF126E" w:rsidP="00AD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33F1" w14:textId="5BBCE6A7" w:rsidR="005F6B85" w:rsidRDefault="00F23A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3AC04A71" wp14:editId="5D95ED49">
              <wp:simplePos x="0" y="0"/>
              <wp:positionH relativeFrom="page">
                <wp:posOffset>-27940</wp:posOffset>
              </wp:positionH>
              <wp:positionV relativeFrom="paragraph">
                <wp:posOffset>44450</wp:posOffset>
              </wp:positionV>
              <wp:extent cx="7588250" cy="262890"/>
              <wp:effectExtent l="0" t="0" r="0" b="0"/>
              <wp:wrapNone/>
              <wp:docPr id="118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88250" cy="262890"/>
                      </a:xfrm>
                      <a:prstGeom prst="rect">
                        <a:avLst/>
                      </a:prstGeom>
                      <a:gradFill>
                        <a:gsLst>
                          <a:gs pos="69000">
                            <a:srgbClr val="1B81C5"/>
                          </a:gs>
                          <a:gs pos="30000">
                            <a:srgbClr val="1E2D70"/>
                          </a:gs>
                          <a:gs pos="96000">
                            <a:srgbClr val="C4228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7DF491C9" w14:textId="367057A2" w:rsidR="000C19C4" w:rsidRPr="000C19C4" w:rsidRDefault="000C19C4" w:rsidP="000C19C4">
                          <w:pPr>
                            <w:ind w:firstLineChars="550" w:firstLine="990"/>
                            <w:jc w:val="center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>标准管理</w:t>
                          </w:r>
                          <w:r w:rsidRPr="000C19C4">
                            <w:rPr>
                              <w:rFonts w:ascii="微软雅黑" w:eastAsia="微软雅黑" w:hAnsi="微软雅黑" w:cs="Calibri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 xml:space="preserve"> 永续经营 </w:t>
                          </w:r>
                          <w:r w:rsidR="006467F1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>Standard</w:t>
                          </w:r>
                          <w:r w:rsidRPr="000C19C4">
                            <w:rPr>
                              <w:rFonts w:ascii="微软雅黑" w:eastAsia="微软雅黑" w:hAnsi="微软雅黑" w:cs="Calibri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>Management</w:t>
                          </w:r>
                          <w:r w:rsidRPr="000C19C4">
                            <w:rPr>
                              <w:rFonts w:ascii="微软雅黑" w:eastAsia="微软雅黑" w:hAnsi="微软雅黑" w:cs="Calibri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>Sustainable</w:t>
                          </w:r>
                          <w:r w:rsidRPr="000C19C4">
                            <w:rPr>
                              <w:rFonts w:ascii="微软雅黑" w:eastAsia="微软雅黑" w:hAnsi="微软雅黑" w:cs="Calibri"/>
                              <w:color w:val="FFFFFF" w:themeColor="background1"/>
                              <w:sz w:val="18"/>
                              <w:szCs w:val="18"/>
                            </w:rPr>
                            <w:t> </w:t>
                          </w:r>
                          <w:r w:rsidRPr="000C19C4">
                            <w:rPr>
                              <w:rFonts w:ascii="微软雅黑" w:eastAsia="微软雅黑" w:hAnsi="微软雅黑"/>
                              <w:color w:val="FFFFFF" w:themeColor="background1"/>
                              <w:sz w:val="18"/>
                              <w:szCs w:val="18"/>
                            </w:rPr>
                            <w:t xml:space="preserve">Operation </w:t>
                          </w:r>
                        </w:p>
                        <w:p w14:paraId="2A89C9D3" w14:textId="77777777" w:rsidR="005F6B85" w:rsidRPr="00C26B0B" w:rsidRDefault="005F6B85" w:rsidP="00524954">
                          <w:pPr>
                            <w:ind w:firstLineChars="550" w:firstLine="99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04A71" id="矩形 2" o:spid="_x0000_s1026" style="position:absolute;left:0;text-align:left;margin-left:-2.2pt;margin-top:3.5pt;width:597.5pt;height:20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" o:allowoverlap="f" fillcolor="#1e2d70" stroked="f">
              <v:fill color2="#c42289" angle="90" colors="0 #1e2d70;19661f #1e2d70;45220f #1b81c5" focus="100%" type="gradient">
                <o:fill v:ext="view" type="gradientUnscaled"/>
              </v:fill>
              <v:textbox>
                <w:txbxContent>
                  <w:p w14:paraId="7DF491C9" w14:textId="367057A2" w:rsidR="000C19C4" w:rsidRPr="000C19C4" w:rsidRDefault="000C19C4" w:rsidP="000C19C4">
                    <w:pPr>
                      <w:ind w:firstLineChars="550" w:firstLine="990"/>
                      <w:jc w:val="center"/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</w:pP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>标准管理</w:t>
                    </w:r>
                    <w:r w:rsidRPr="000C19C4">
                      <w:rPr>
                        <w:rFonts w:ascii="微软雅黑" w:eastAsia="微软雅黑" w:hAnsi="微软雅黑" w:cs="Calibri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 xml:space="preserve"> 永续经营 </w:t>
                    </w:r>
                    <w:r w:rsidR="006467F1">
                      <w:rPr>
                        <w:rFonts w:ascii="微软雅黑" w:eastAsia="微软雅黑" w:hAnsi="微软雅黑" w:hint="eastAsia"/>
                        <w:color w:val="FFFFFF" w:themeColor="background1"/>
                        <w:sz w:val="18"/>
                        <w:szCs w:val="18"/>
                      </w:rPr>
                      <w:t xml:space="preserve">   </w:t>
                    </w: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>Standard</w:t>
                    </w:r>
                    <w:r w:rsidRPr="000C19C4">
                      <w:rPr>
                        <w:rFonts w:ascii="微软雅黑" w:eastAsia="微软雅黑" w:hAnsi="微软雅黑" w:cs="Calibri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>Management</w:t>
                    </w:r>
                    <w:r w:rsidRPr="000C19C4">
                      <w:rPr>
                        <w:rFonts w:ascii="微软雅黑" w:eastAsia="微软雅黑" w:hAnsi="微软雅黑" w:cs="Calibri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>Sustainable</w:t>
                    </w:r>
                    <w:r w:rsidRPr="000C19C4">
                      <w:rPr>
                        <w:rFonts w:ascii="微软雅黑" w:eastAsia="微软雅黑" w:hAnsi="微软雅黑" w:cs="Calibri"/>
                        <w:color w:val="FFFFFF" w:themeColor="background1"/>
                        <w:sz w:val="18"/>
                        <w:szCs w:val="18"/>
                      </w:rPr>
                      <w:t> </w:t>
                    </w:r>
                    <w:r w:rsidRPr="000C19C4">
                      <w:rPr>
                        <w:rFonts w:ascii="微软雅黑" w:eastAsia="微软雅黑" w:hAnsi="微软雅黑"/>
                        <w:color w:val="FFFFFF" w:themeColor="background1"/>
                        <w:sz w:val="18"/>
                        <w:szCs w:val="18"/>
                      </w:rPr>
                      <w:t xml:space="preserve">Operation </w:t>
                    </w:r>
                  </w:p>
                  <w:p w14:paraId="2A89C9D3" w14:textId="77777777" w:rsidR="005F6B85" w:rsidRPr="00C26B0B" w:rsidRDefault="005F6B85" w:rsidP="00524954">
                    <w:pPr>
                      <w:ind w:firstLineChars="550" w:firstLine="99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DE94" w14:textId="77777777" w:rsidR="00AF126E" w:rsidRDefault="00AF126E" w:rsidP="00AD205B">
      <w:r>
        <w:separator/>
      </w:r>
    </w:p>
  </w:footnote>
  <w:footnote w:type="continuationSeparator" w:id="0">
    <w:p w14:paraId="67C019CD" w14:textId="77777777" w:rsidR="00AF126E" w:rsidRDefault="00AF126E" w:rsidP="00AD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61309"/>
      <w:docPartObj>
        <w:docPartGallery w:val="Page Numbers (Top of Page)"/>
        <w:docPartUnique/>
      </w:docPartObj>
    </w:sdtPr>
    <w:sdtEndPr>
      <w:rPr>
        <w:rFonts w:ascii="微软雅黑" w:eastAsia="微软雅黑" w:hAnsi="微软雅黑"/>
        <w:b w:val="0"/>
        <w:sz w:val="21"/>
        <w:szCs w:val="21"/>
      </w:rPr>
    </w:sdtEndPr>
    <w:sdtContent>
      <w:p w14:paraId="5C56F1E7" w14:textId="1F5F78B7" w:rsidR="005F6B85" w:rsidRPr="00AD6D6B" w:rsidRDefault="005F6B85" w:rsidP="00AD205B">
        <w:pPr>
          <w:pStyle w:val="2"/>
          <w:jc w:val="right"/>
          <w:rPr>
            <w:rFonts w:ascii="微软雅黑" w:eastAsia="微软雅黑" w:hAnsi="微软雅黑"/>
            <w:b w:val="0"/>
            <w:sz w:val="21"/>
            <w:szCs w:val="21"/>
          </w:rPr>
        </w:pPr>
        <w:r w:rsidRPr="00AD6D6B">
          <w:rPr>
            <w:rFonts w:ascii="微软雅黑" w:eastAsia="微软雅黑" w:hAnsi="微软雅黑" w:hint="eastAsia"/>
            <w:b w:val="0"/>
            <w:noProof/>
            <w:sz w:val="21"/>
            <w:szCs w:val="21"/>
          </w:rPr>
          <w:drawing>
            <wp:anchor distT="0" distB="0" distL="0" distR="0" simplePos="0" relativeHeight="251661824" behindDoc="0" locked="0" layoutInCell="1" allowOverlap="1" wp14:anchorId="57E8CE66" wp14:editId="1943026A">
              <wp:simplePos x="0" y="0"/>
              <wp:positionH relativeFrom="margin">
                <wp:posOffset>-330835</wp:posOffset>
              </wp:positionH>
              <wp:positionV relativeFrom="page">
                <wp:posOffset>498475</wp:posOffset>
              </wp:positionV>
              <wp:extent cx="1792605" cy="415290"/>
              <wp:effectExtent l="0" t="0" r="0" b="0"/>
              <wp:wrapSquare wrapText="right"/>
              <wp:docPr id="2" name="图片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2605" cy="415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96161B">
          <w:rPr>
            <w:rFonts w:ascii="微软雅黑" w:eastAsia="微软雅黑" w:hAnsi="微软雅黑" w:hint="eastAsia"/>
            <w:b w:val="0"/>
            <w:sz w:val="21"/>
            <w:szCs w:val="21"/>
          </w:rPr>
          <w:t>环境、社会及</w:t>
        </w:r>
        <w:r w:rsidR="006467F1">
          <w:rPr>
            <w:rFonts w:ascii="微软雅黑" w:eastAsia="微软雅黑" w:hAnsi="微软雅黑" w:hint="eastAsia"/>
            <w:b w:val="0"/>
            <w:sz w:val="21"/>
            <w:szCs w:val="21"/>
          </w:rPr>
          <w:t>治理</w:t>
        </w:r>
        <w:r w:rsidR="0096161B">
          <w:rPr>
            <w:rFonts w:ascii="微软雅黑" w:eastAsia="微软雅黑" w:hAnsi="微软雅黑" w:hint="eastAsia"/>
            <w:b w:val="0"/>
            <w:sz w:val="21"/>
            <w:szCs w:val="21"/>
          </w:rPr>
          <w:t>（ESG）管理实践</w:t>
        </w:r>
        <w:r w:rsidR="006467F1">
          <w:rPr>
            <w:rFonts w:ascii="微软雅黑" w:eastAsia="微软雅黑" w:hAnsi="微软雅黑" w:hint="eastAsia"/>
            <w:b w:val="0"/>
            <w:sz w:val="21"/>
            <w:szCs w:val="21"/>
          </w:rPr>
          <w:t>、战略</w:t>
        </w:r>
        <w:r w:rsidR="0096161B">
          <w:rPr>
            <w:rFonts w:ascii="微软雅黑" w:eastAsia="微软雅黑" w:hAnsi="微软雅黑" w:hint="eastAsia"/>
            <w:b w:val="0"/>
            <w:sz w:val="21"/>
            <w:szCs w:val="21"/>
          </w:rPr>
          <w:t>和报告方法培训</w:t>
        </w:r>
        <w:r w:rsidR="0096161B" w:rsidRPr="00AD6D6B">
          <w:rPr>
            <w:rFonts w:ascii="微软雅黑" w:eastAsia="微软雅黑" w:hAnsi="微软雅黑"/>
            <w:b w:val="0"/>
            <w:sz w:val="21"/>
            <w:szCs w:val="21"/>
          </w:rPr>
          <w:t xml:space="preserve"> </w: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begin"/>
        </w:r>
        <w:r w:rsidRPr="00AD6D6B">
          <w:rPr>
            <w:rFonts w:ascii="微软雅黑" w:eastAsia="微软雅黑" w:hAnsi="微软雅黑"/>
            <w:b w:val="0"/>
            <w:sz w:val="21"/>
            <w:szCs w:val="21"/>
          </w:rPr>
          <w:instrText>PAGE</w:instrTex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separate"/>
        </w:r>
        <w:r w:rsidR="00CF2FCC">
          <w:rPr>
            <w:rFonts w:ascii="微软雅黑" w:eastAsia="微软雅黑" w:hAnsi="微软雅黑"/>
            <w:b w:val="0"/>
            <w:noProof/>
            <w:sz w:val="21"/>
            <w:szCs w:val="21"/>
          </w:rPr>
          <w:t>1</w: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end"/>
        </w:r>
        <w:r w:rsidRPr="00AD6D6B">
          <w:rPr>
            <w:rFonts w:ascii="微软雅黑" w:eastAsia="微软雅黑" w:hAnsi="微软雅黑"/>
            <w:b w:val="0"/>
            <w:sz w:val="21"/>
            <w:szCs w:val="21"/>
            <w:lang w:val="zh-CN"/>
          </w:rPr>
          <w:t xml:space="preserve"> / </w: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begin"/>
        </w:r>
        <w:r w:rsidRPr="00AD6D6B">
          <w:rPr>
            <w:rFonts w:ascii="微软雅黑" w:eastAsia="微软雅黑" w:hAnsi="微软雅黑"/>
            <w:b w:val="0"/>
            <w:sz w:val="21"/>
            <w:szCs w:val="21"/>
          </w:rPr>
          <w:instrText>NUMPAGES</w:instrTex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separate"/>
        </w:r>
        <w:r w:rsidR="00CF2FCC">
          <w:rPr>
            <w:rFonts w:ascii="微软雅黑" w:eastAsia="微软雅黑" w:hAnsi="微软雅黑"/>
            <w:b w:val="0"/>
            <w:noProof/>
            <w:sz w:val="21"/>
            <w:szCs w:val="21"/>
          </w:rPr>
          <w:t>5</w:t>
        </w:r>
        <w:r w:rsidR="002B3EEA" w:rsidRPr="00AD6D6B">
          <w:rPr>
            <w:rFonts w:ascii="微软雅黑" w:eastAsia="微软雅黑" w:hAnsi="微软雅黑"/>
            <w:b w:val="0"/>
            <w:sz w:val="21"/>
            <w:szCs w:val="2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3A8"/>
      </v:shape>
    </w:pict>
  </w:numPicBullet>
  <w:abstractNum w:abstractNumId="0" w15:restartNumberingAfterBreak="0">
    <w:nsid w:val="01775094"/>
    <w:multiLevelType w:val="hybridMultilevel"/>
    <w:tmpl w:val="F99212BC"/>
    <w:lvl w:ilvl="0" w:tplc="04090007">
      <w:start w:val="1"/>
      <w:numFmt w:val="bullet"/>
      <w:lvlText w:val=""/>
      <w:lvlPicBulletId w:val="0"/>
      <w:lvlJc w:val="left"/>
      <w:pPr>
        <w:ind w:left="2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40"/>
      </w:pPr>
      <w:rPr>
        <w:rFonts w:ascii="Wingdings" w:hAnsi="Wingdings" w:hint="default"/>
      </w:rPr>
    </w:lvl>
  </w:abstractNum>
  <w:abstractNum w:abstractNumId="1" w15:restartNumberingAfterBreak="0">
    <w:nsid w:val="0A4C44A5"/>
    <w:multiLevelType w:val="hybridMultilevel"/>
    <w:tmpl w:val="6E30CA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FB41DC"/>
    <w:multiLevelType w:val="hybridMultilevel"/>
    <w:tmpl w:val="FE04ADB4"/>
    <w:lvl w:ilvl="0" w:tplc="4B74FB8C">
      <w:numFmt w:val="bullet"/>
      <w:lvlText w:val="·"/>
      <w:lvlJc w:val="left"/>
      <w:pPr>
        <w:ind w:left="360" w:hanging="360"/>
      </w:pPr>
      <w:rPr>
        <w:rFonts w:ascii="微软雅黑" w:eastAsia="微软雅黑" w:hAnsi="微软雅黑" w:cs="Times New Roman" w:hint="eastAsia"/>
        <w:color w:val="CC00FF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622292"/>
    <w:multiLevelType w:val="hybridMultilevel"/>
    <w:tmpl w:val="E7A2AF84"/>
    <w:lvl w:ilvl="0" w:tplc="E1E0053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24EA2E8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AAA6CE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60DA0C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E45E2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F080BB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0E5F1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FACD09A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262A50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72CAD"/>
    <w:multiLevelType w:val="hybridMultilevel"/>
    <w:tmpl w:val="52AAB64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40186C"/>
    <w:multiLevelType w:val="hybridMultilevel"/>
    <w:tmpl w:val="161C90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EAF4445"/>
    <w:multiLevelType w:val="hybridMultilevel"/>
    <w:tmpl w:val="BDE0E46C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BA3F68"/>
    <w:multiLevelType w:val="hybridMultilevel"/>
    <w:tmpl w:val="86947E8E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541FCF"/>
    <w:multiLevelType w:val="hybridMultilevel"/>
    <w:tmpl w:val="020A8F0A"/>
    <w:lvl w:ilvl="0" w:tplc="0694C6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DE9394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7E7AE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B42DB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E006BF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258D2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DC97E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A1E41B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F88BCE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E0B93"/>
    <w:multiLevelType w:val="hybridMultilevel"/>
    <w:tmpl w:val="C798CE10"/>
    <w:lvl w:ilvl="0" w:tplc="602A947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630D3B"/>
    <w:multiLevelType w:val="hybridMultilevel"/>
    <w:tmpl w:val="89AC1556"/>
    <w:lvl w:ilvl="0" w:tplc="C568A5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54EB9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CA89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0E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9E40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E72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A86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4D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8A49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D2075"/>
    <w:multiLevelType w:val="hybridMultilevel"/>
    <w:tmpl w:val="204A3C6C"/>
    <w:lvl w:ilvl="0" w:tplc="602A947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B9E5D25"/>
    <w:multiLevelType w:val="hybridMultilevel"/>
    <w:tmpl w:val="567431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4A64BF"/>
    <w:multiLevelType w:val="hybridMultilevel"/>
    <w:tmpl w:val="CD420116"/>
    <w:lvl w:ilvl="0" w:tplc="AA96D47A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42184D19"/>
    <w:multiLevelType w:val="hybridMultilevel"/>
    <w:tmpl w:val="115C33E8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B45377"/>
    <w:multiLevelType w:val="hybridMultilevel"/>
    <w:tmpl w:val="A1ACDA02"/>
    <w:lvl w:ilvl="0" w:tplc="28302B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CA0A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AE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6FA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6E56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A7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02B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81F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5C26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876D7"/>
    <w:multiLevelType w:val="hybridMultilevel"/>
    <w:tmpl w:val="37CC2032"/>
    <w:lvl w:ilvl="0" w:tplc="5240D1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C4228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921FB9"/>
    <w:multiLevelType w:val="hybridMultilevel"/>
    <w:tmpl w:val="9AF2A590"/>
    <w:lvl w:ilvl="0" w:tplc="066EF2C2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D904FBD8">
      <w:start w:val="1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5FC6984"/>
    <w:multiLevelType w:val="hybridMultilevel"/>
    <w:tmpl w:val="853CC3CC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6759F2"/>
    <w:multiLevelType w:val="hybridMultilevel"/>
    <w:tmpl w:val="1718730E"/>
    <w:lvl w:ilvl="0" w:tplc="9B28F18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5E082C90"/>
    <w:multiLevelType w:val="hybridMultilevel"/>
    <w:tmpl w:val="8E74710E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B34871"/>
    <w:multiLevelType w:val="multilevel"/>
    <w:tmpl w:val="9F58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827485"/>
    <w:multiLevelType w:val="hybridMultilevel"/>
    <w:tmpl w:val="DA625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A47CAE"/>
    <w:multiLevelType w:val="hybridMultilevel"/>
    <w:tmpl w:val="F0CEC530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A779AC"/>
    <w:multiLevelType w:val="hybridMultilevel"/>
    <w:tmpl w:val="27CE635A"/>
    <w:lvl w:ilvl="0" w:tplc="DDF6BC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AE506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4494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E26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6CE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C46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439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6E15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2CF9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94DD7"/>
    <w:multiLevelType w:val="hybridMultilevel"/>
    <w:tmpl w:val="DE8AFF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902F45"/>
    <w:multiLevelType w:val="hybridMultilevel"/>
    <w:tmpl w:val="729088B4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05C59E4"/>
    <w:multiLevelType w:val="hybridMultilevel"/>
    <w:tmpl w:val="542A69A0"/>
    <w:lvl w:ilvl="0" w:tplc="6A8277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C42289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473231">
    <w:abstractNumId w:val="27"/>
  </w:num>
  <w:num w:numId="2" w16cid:durableId="1990285183">
    <w:abstractNumId w:val="17"/>
  </w:num>
  <w:num w:numId="3" w16cid:durableId="2034962543">
    <w:abstractNumId w:val="7"/>
  </w:num>
  <w:num w:numId="4" w16cid:durableId="1094862428">
    <w:abstractNumId w:val="16"/>
  </w:num>
  <w:num w:numId="5" w16cid:durableId="1213272951">
    <w:abstractNumId w:val="8"/>
  </w:num>
  <w:num w:numId="6" w16cid:durableId="1367373043">
    <w:abstractNumId w:val="3"/>
  </w:num>
  <w:num w:numId="7" w16cid:durableId="404380253">
    <w:abstractNumId w:val="10"/>
  </w:num>
  <w:num w:numId="8" w16cid:durableId="250159844">
    <w:abstractNumId w:val="6"/>
  </w:num>
  <w:num w:numId="9" w16cid:durableId="1064139192">
    <w:abstractNumId w:val="23"/>
  </w:num>
  <w:num w:numId="10" w16cid:durableId="715852412">
    <w:abstractNumId w:val="14"/>
  </w:num>
  <w:num w:numId="11" w16cid:durableId="1173761337">
    <w:abstractNumId w:val="25"/>
  </w:num>
  <w:num w:numId="12" w16cid:durableId="298995572">
    <w:abstractNumId w:val="20"/>
  </w:num>
  <w:num w:numId="13" w16cid:durableId="334959479">
    <w:abstractNumId w:val="18"/>
  </w:num>
  <w:num w:numId="14" w16cid:durableId="1035541569">
    <w:abstractNumId w:val="21"/>
  </w:num>
  <w:num w:numId="15" w16cid:durableId="358242845">
    <w:abstractNumId w:val="12"/>
  </w:num>
  <w:num w:numId="16" w16cid:durableId="184562493">
    <w:abstractNumId w:val="22"/>
  </w:num>
  <w:num w:numId="17" w16cid:durableId="1254169922">
    <w:abstractNumId w:val="26"/>
  </w:num>
  <w:num w:numId="18" w16cid:durableId="1715960225">
    <w:abstractNumId w:val="4"/>
  </w:num>
  <w:num w:numId="19" w16cid:durableId="547179525">
    <w:abstractNumId w:val="2"/>
  </w:num>
  <w:num w:numId="20" w16cid:durableId="1251307642">
    <w:abstractNumId w:val="11"/>
  </w:num>
  <w:num w:numId="21" w16cid:durableId="831019311">
    <w:abstractNumId w:val="9"/>
  </w:num>
  <w:num w:numId="22" w16cid:durableId="1786149703">
    <w:abstractNumId w:val="5"/>
  </w:num>
  <w:num w:numId="23" w16cid:durableId="917253157">
    <w:abstractNumId w:val="19"/>
  </w:num>
  <w:num w:numId="24" w16cid:durableId="700012081">
    <w:abstractNumId w:val="13"/>
  </w:num>
  <w:num w:numId="25" w16cid:durableId="55709381">
    <w:abstractNumId w:val="24"/>
  </w:num>
  <w:num w:numId="26" w16cid:durableId="691611990">
    <w:abstractNumId w:val="15"/>
  </w:num>
  <w:num w:numId="27" w16cid:durableId="1445467707">
    <w:abstractNumId w:val="0"/>
  </w:num>
  <w:num w:numId="28" w16cid:durableId="194793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5B"/>
    <w:rsid w:val="00012977"/>
    <w:rsid w:val="00017E78"/>
    <w:rsid w:val="0002674E"/>
    <w:rsid w:val="00074D0E"/>
    <w:rsid w:val="00075359"/>
    <w:rsid w:val="00091960"/>
    <w:rsid w:val="00096CD6"/>
    <w:rsid w:val="000A29A0"/>
    <w:rsid w:val="000C19C4"/>
    <w:rsid w:val="000C7B83"/>
    <w:rsid w:val="000D7681"/>
    <w:rsid w:val="000F5A8C"/>
    <w:rsid w:val="00115EDA"/>
    <w:rsid w:val="00116F67"/>
    <w:rsid w:val="00126E5A"/>
    <w:rsid w:val="00133C57"/>
    <w:rsid w:val="00137D7E"/>
    <w:rsid w:val="001436C5"/>
    <w:rsid w:val="0015055E"/>
    <w:rsid w:val="00164B76"/>
    <w:rsid w:val="00185E54"/>
    <w:rsid w:val="001875B3"/>
    <w:rsid w:val="001A6BEF"/>
    <w:rsid w:val="001C7A77"/>
    <w:rsid w:val="001D07E0"/>
    <w:rsid w:val="001E200E"/>
    <w:rsid w:val="001E4741"/>
    <w:rsid w:val="001F56E9"/>
    <w:rsid w:val="002210A0"/>
    <w:rsid w:val="002329F8"/>
    <w:rsid w:val="00240768"/>
    <w:rsid w:val="00242689"/>
    <w:rsid w:val="00244752"/>
    <w:rsid w:val="00255CF0"/>
    <w:rsid w:val="00277253"/>
    <w:rsid w:val="00291D5A"/>
    <w:rsid w:val="00295379"/>
    <w:rsid w:val="002B3EEA"/>
    <w:rsid w:val="002C1046"/>
    <w:rsid w:val="002C29C1"/>
    <w:rsid w:val="002C3658"/>
    <w:rsid w:val="002D1AF5"/>
    <w:rsid w:val="002F0CA8"/>
    <w:rsid w:val="002F27B6"/>
    <w:rsid w:val="0031067B"/>
    <w:rsid w:val="00312A59"/>
    <w:rsid w:val="003165EB"/>
    <w:rsid w:val="00317D14"/>
    <w:rsid w:val="003404E0"/>
    <w:rsid w:val="00343626"/>
    <w:rsid w:val="0038157A"/>
    <w:rsid w:val="00386F4D"/>
    <w:rsid w:val="00392690"/>
    <w:rsid w:val="003A42E0"/>
    <w:rsid w:val="003A4908"/>
    <w:rsid w:val="003A5B3D"/>
    <w:rsid w:val="003B3B00"/>
    <w:rsid w:val="003B453C"/>
    <w:rsid w:val="003B6D0A"/>
    <w:rsid w:val="003C71FC"/>
    <w:rsid w:val="003D34AA"/>
    <w:rsid w:val="003F32D6"/>
    <w:rsid w:val="00400070"/>
    <w:rsid w:val="004432D0"/>
    <w:rsid w:val="0046277B"/>
    <w:rsid w:val="004B3EBD"/>
    <w:rsid w:val="004C28CF"/>
    <w:rsid w:val="004C5774"/>
    <w:rsid w:val="004D65AC"/>
    <w:rsid w:val="004E2F72"/>
    <w:rsid w:val="004E6BB3"/>
    <w:rsid w:val="004F01E4"/>
    <w:rsid w:val="005044DC"/>
    <w:rsid w:val="00524954"/>
    <w:rsid w:val="00556825"/>
    <w:rsid w:val="00567EC9"/>
    <w:rsid w:val="00581A2F"/>
    <w:rsid w:val="00581AA4"/>
    <w:rsid w:val="00583E89"/>
    <w:rsid w:val="00586C59"/>
    <w:rsid w:val="005A063C"/>
    <w:rsid w:val="005B5F91"/>
    <w:rsid w:val="005E5475"/>
    <w:rsid w:val="005F2D74"/>
    <w:rsid w:val="005F6B85"/>
    <w:rsid w:val="006048BC"/>
    <w:rsid w:val="006055ED"/>
    <w:rsid w:val="00610ED8"/>
    <w:rsid w:val="00625E96"/>
    <w:rsid w:val="006467F1"/>
    <w:rsid w:val="00663BD3"/>
    <w:rsid w:val="00677BCD"/>
    <w:rsid w:val="00682DDE"/>
    <w:rsid w:val="00682F85"/>
    <w:rsid w:val="006863EE"/>
    <w:rsid w:val="00696735"/>
    <w:rsid w:val="006A3D03"/>
    <w:rsid w:val="006C1F1A"/>
    <w:rsid w:val="006C7904"/>
    <w:rsid w:val="006E4FF2"/>
    <w:rsid w:val="006E5149"/>
    <w:rsid w:val="006F42D4"/>
    <w:rsid w:val="006F46CB"/>
    <w:rsid w:val="006F586E"/>
    <w:rsid w:val="007142B0"/>
    <w:rsid w:val="0071744B"/>
    <w:rsid w:val="00737842"/>
    <w:rsid w:val="00741F3F"/>
    <w:rsid w:val="0074655C"/>
    <w:rsid w:val="00753234"/>
    <w:rsid w:val="00756F08"/>
    <w:rsid w:val="00773F11"/>
    <w:rsid w:val="007D4CDC"/>
    <w:rsid w:val="007E02BD"/>
    <w:rsid w:val="008006EA"/>
    <w:rsid w:val="00810E23"/>
    <w:rsid w:val="008178D4"/>
    <w:rsid w:val="0084356C"/>
    <w:rsid w:val="00864B1C"/>
    <w:rsid w:val="0086509C"/>
    <w:rsid w:val="00874DB5"/>
    <w:rsid w:val="00886512"/>
    <w:rsid w:val="00891117"/>
    <w:rsid w:val="008949C2"/>
    <w:rsid w:val="008A2665"/>
    <w:rsid w:val="008B3204"/>
    <w:rsid w:val="008C3476"/>
    <w:rsid w:val="008D0AA2"/>
    <w:rsid w:val="008E1BD1"/>
    <w:rsid w:val="008F1965"/>
    <w:rsid w:val="00900E07"/>
    <w:rsid w:val="00903AC5"/>
    <w:rsid w:val="00905D3E"/>
    <w:rsid w:val="00906061"/>
    <w:rsid w:val="00923F87"/>
    <w:rsid w:val="009404F3"/>
    <w:rsid w:val="0094061B"/>
    <w:rsid w:val="00945211"/>
    <w:rsid w:val="0096161B"/>
    <w:rsid w:val="00971C90"/>
    <w:rsid w:val="00985D3E"/>
    <w:rsid w:val="009B26D1"/>
    <w:rsid w:val="009D2BD8"/>
    <w:rsid w:val="009D5A95"/>
    <w:rsid w:val="009E0620"/>
    <w:rsid w:val="009F02E1"/>
    <w:rsid w:val="00A30613"/>
    <w:rsid w:val="00A333C8"/>
    <w:rsid w:val="00A3498D"/>
    <w:rsid w:val="00A35539"/>
    <w:rsid w:val="00A74E20"/>
    <w:rsid w:val="00A83E4C"/>
    <w:rsid w:val="00A84564"/>
    <w:rsid w:val="00A912ED"/>
    <w:rsid w:val="00A92507"/>
    <w:rsid w:val="00AC6962"/>
    <w:rsid w:val="00AD205B"/>
    <w:rsid w:val="00AD6D6B"/>
    <w:rsid w:val="00AF126E"/>
    <w:rsid w:val="00AF3C39"/>
    <w:rsid w:val="00B12E1D"/>
    <w:rsid w:val="00B25DB9"/>
    <w:rsid w:val="00B34FD0"/>
    <w:rsid w:val="00B41932"/>
    <w:rsid w:val="00B476D6"/>
    <w:rsid w:val="00B50755"/>
    <w:rsid w:val="00B56B89"/>
    <w:rsid w:val="00B606B7"/>
    <w:rsid w:val="00B6188B"/>
    <w:rsid w:val="00B72F5C"/>
    <w:rsid w:val="00BB223C"/>
    <w:rsid w:val="00BB5565"/>
    <w:rsid w:val="00BC1E3A"/>
    <w:rsid w:val="00BD1018"/>
    <w:rsid w:val="00BD3E66"/>
    <w:rsid w:val="00BE7CF2"/>
    <w:rsid w:val="00BF2519"/>
    <w:rsid w:val="00C076BE"/>
    <w:rsid w:val="00C14D9F"/>
    <w:rsid w:val="00C1729A"/>
    <w:rsid w:val="00C17A7F"/>
    <w:rsid w:val="00C271B4"/>
    <w:rsid w:val="00C37904"/>
    <w:rsid w:val="00C43CAC"/>
    <w:rsid w:val="00C4518F"/>
    <w:rsid w:val="00C64BD4"/>
    <w:rsid w:val="00C93C03"/>
    <w:rsid w:val="00C96E05"/>
    <w:rsid w:val="00CB5883"/>
    <w:rsid w:val="00CC170E"/>
    <w:rsid w:val="00CC2456"/>
    <w:rsid w:val="00CD6DBC"/>
    <w:rsid w:val="00CE7FA0"/>
    <w:rsid w:val="00CF2FCC"/>
    <w:rsid w:val="00D14261"/>
    <w:rsid w:val="00D164C0"/>
    <w:rsid w:val="00D273F9"/>
    <w:rsid w:val="00D415D6"/>
    <w:rsid w:val="00D51E83"/>
    <w:rsid w:val="00D565DB"/>
    <w:rsid w:val="00D570E8"/>
    <w:rsid w:val="00D63DD1"/>
    <w:rsid w:val="00D650BA"/>
    <w:rsid w:val="00D73AF3"/>
    <w:rsid w:val="00D94204"/>
    <w:rsid w:val="00DB46D3"/>
    <w:rsid w:val="00DC42C6"/>
    <w:rsid w:val="00DC52B2"/>
    <w:rsid w:val="00DD0DF9"/>
    <w:rsid w:val="00DE2154"/>
    <w:rsid w:val="00DE4697"/>
    <w:rsid w:val="00DE720F"/>
    <w:rsid w:val="00E00AF1"/>
    <w:rsid w:val="00E011A2"/>
    <w:rsid w:val="00E0326E"/>
    <w:rsid w:val="00E25CB1"/>
    <w:rsid w:val="00E354AF"/>
    <w:rsid w:val="00E7273F"/>
    <w:rsid w:val="00E734EE"/>
    <w:rsid w:val="00E873F2"/>
    <w:rsid w:val="00E92E6B"/>
    <w:rsid w:val="00EA0045"/>
    <w:rsid w:val="00EA65F3"/>
    <w:rsid w:val="00EE33F0"/>
    <w:rsid w:val="00EE77F1"/>
    <w:rsid w:val="00F01BC1"/>
    <w:rsid w:val="00F219C9"/>
    <w:rsid w:val="00F23A2E"/>
    <w:rsid w:val="00F30BB4"/>
    <w:rsid w:val="00F36EBE"/>
    <w:rsid w:val="00F9629C"/>
    <w:rsid w:val="00FA0B12"/>
    <w:rsid w:val="00FA10C8"/>
    <w:rsid w:val="00FA3A9B"/>
    <w:rsid w:val="00FA7B06"/>
    <w:rsid w:val="00FB16D3"/>
    <w:rsid w:val="00FB19D3"/>
    <w:rsid w:val="00FB44CD"/>
    <w:rsid w:val="00FC57EC"/>
    <w:rsid w:val="00FF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6D073A1"/>
  <w15:docId w15:val="{3983CC04-7C10-44FA-8B69-9FFD8793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D20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05B"/>
    <w:rPr>
      <w:sz w:val="18"/>
      <w:szCs w:val="18"/>
    </w:rPr>
  </w:style>
  <w:style w:type="character" w:customStyle="1" w:styleId="20">
    <w:name w:val="标题 2 字符"/>
    <w:basedOn w:val="a0"/>
    <w:link w:val="2"/>
    <w:rsid w:val="00AD205B"/>
    <w:rPr>
      <w:rFonts w:ascii="Arial" w:eastAsia="黑体" w:hAnsi="Arial" w:cs="Times New Roman"/>
      <w:b/>
      <w:bCs/>
      <w:sz w:val="32"/>
      <w:szCs w:val="32"/>
    </w:rPr>
  </w:style>
  <w:style w:type="character" w:styleId="a7">
    <w:name w:val="Intense Reference"/>
    <w:uiPriority w:val="32"/>
    <w:qFormat/>
    <w:rsid w:val="00AD205B"/>
    <w:rPr>
      <w:b/>
      <w:bCs/>
      <w:smallCaps/>
      <w:color w:val="C0504D"/>
      <w:spacing w:val="5"/>
      <w:u w:val="single"/>
    </w:rPr>
  </w:style>
  <w:style w:type="paragraph" w:styleId="a8">
    <w:name w:val="List Paragraph"/>
    <w:basedOn w:val="a"/>
    <w:uiPriority w:val="34"/>
    <w:qFormat/>
    <w:rsid w:val="00524954"/>
    <w:pPr>
      <w:ind w:firstLineChars="200" w:firstLine="200"/>
    </w:pPr>
  </w:style>
  <w:style w:type="character" w:styleId="a9">
    <w:name w:val="Hyperlink"/>
    <w:uiPriority w:val="99"/>
    <w:unhideWhenUsed/>
    <w:rsid w:val="00CD6DB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1C9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71C90"/>
    <w:rPr>
      <w:rFonts w:ascii="Times New Roman" w:eastAsia="宋体" w:hAnsi="Times New Roman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5F6B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basedOn w:val="a0"/>
    <w:uiPriority w:val="22"/>
    <w:qFormat/>
    <w:rsid w:val="005F6B85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3F3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07suz@kcf.com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tkb64QCThDGTm7rNem1DDpteMOTIFGhHIV1tk6-Ysn9-bBlOxK7YH0Bi5hN3NQyeAjWcubIX479Me0ut0R6vepFyiweRAEIRNfbPeQ03Wq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491</Words>
  <Characters>2800</Characters>
  <Application>Microsoft Office Word</Application>
  <DocSecurity>0</DocSecurity>
  <Lines>23</Lines>
  <Paragraphs>6</Paragraphs>
  <ScaleCrop>false</ScaleCrop>
  <Company>China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刘婷婷</dc:creator>
  <cp:lastModifiedBy>刘婷婷</cp:lastModifiedBy>
  <cp:revision>15</cp:revision>
  <cp:lastPrinted>2024-01-24T05:55:00Z</cp:lastPrinted>
  <dcterms:created xsi:type="dcterms:W3CDTF">2024-09-03T09:03:00Z</dcterms:created>
  <dcterms:modified xsi:type="dcterms:W3CDTF">2024-09-23T06:24:00Z</dcterms:modified>
</cp:coreProperties>
</file>