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1DFBA">
      <w:pPr>
        <w:spacing w:line="276" w:lineRule="auto"/>
        <w:jc w:val="center"/>
        <w:rPr>
          <w:rFonts w:hint="eastAsia" w:ascii="微软雅黑" w:hAnsi="微软雅黑" w:eastAsia="微软雅黑" w:cs="Times New Roman"/>
          <w:b/>
          <w:color w:val="FF0000"/>
          <w:sz w:val="36"/>
          <w:szCs w:val="36"/>
        </w:rPr>
      </w:pPr>
      <w:r>
        <w:rPr>
          <w:rFonts w:hint="eastAsia" w:ascii="微软雅黑" w:hAnsi="微软雅黑" w:eastAsia="微软雅黑" w:cs="Times New Roman"/>
          <w:b/>
          <w:color w:val="FF0000"/>
          <w:sz w:val="36"/>
          <w:szCs w:val="36"/>
        </w:rPr>
        <w:t>敏捷领导力——项目团队精干化</w:t>
      </w:r>
    </w:p>
    <w:p w14:paraId="414BB3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t>培训时间：</w:t>
      </w:r>
    </w:p>
    <w:tbl>
      <w:tblPr>
        <w:tblStyle w:val="4"/>
        <w:tblW w:w="84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96"/>
        <w:gridCol w:w="1696"/>
        <w:gridCol w:w="1696"/>
        <w:gridCol w:w="1696"/>
        <w:gridCol w:w="1696"/>
      </w:tblGrid>
      <w:tr w14:paraId="403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169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D49554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三月</w:t>
            </w:r>
          </w:p>
        </w:tc>
        <w:tc>
          <w:tcPr>
            <w:tcW w:w="169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50825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五月</w:t>
            </w:r>
          </w:p>
        </w:tc>
        <w:tc>
          <w:tcPr>
            <w:tcW w:w="169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BB504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七月</w:t>
            </w:r>
          </w:p>
        </w:tc>
        <w:tc>
          <w:tcPr>
            <w:tcW w:w="169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E9D44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九月</w:t>
            </w:r>
          </w:p>
        </w:tc>
        <w:tc>
          <w:tcPr>
            <w:tcW w:w="169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ACCD8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十一月</w:t>
            </w:r>
          </w:p>
        </w:tc>
      </w:tr>
      <w:tr w14:paraId="66C67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F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28-29                        周五、六             深圳</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A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9-10              周五、六              上海</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A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11-12                    周五、六              深圳</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B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12-13                   周五、六              上海</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D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17-18                   周五、六               上海</w:t>
            </w:r>
          </w:p>
        </w:tc>
      </w:tr>
    </w:tbl>
    <w:p w14:paraId="3780232E">
      <w:pPr>
        <w:numPr>
          <w:ilvl w:val="0"/>
          <w:numId w:val="0"/>
        </w:numP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t>培训费用：4800</w:t>
      </w:r>
      <w: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t>元/人（培训费用、资料费、茶歇、结业证书、税费，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一年内可免费复训</w:t>
      </w:r>
      <w: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t>）</w:t>
      </w:r>
    </w:p>
    <w:p w14:paraId="77C91973">
      <w:pPr>
        <w:numPr>
          <w:ilvl w:val="0"/>
          <w:numId w:val="0"/>
        </w:numP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t>培训对象：</w:t>
      </w:r>
      <w: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t>期望提升领导力的管</w:t>
      </w:r>
      <w:bookmarkStart w:id="7" w:name="_GoBack"/>
      <w:bookmarkEnd w:id="7"/>
      <w:r>
        <w:rPr>
          <w:rFonts w:hint="eastAsia" w:ascii="微软雅黑" w:hAnsi="微软雅黑" w:eastAsia="微软雅黑" w:cs="微软雅黑"/>
          <w:b w:val="0"/>
          <w:bCs w:val="0"/>
          <w:color w:val="000000" w:themeColor="text1"/>
          <w:kern w:val="0"/>
          <w:sz w:val="21"/>
          <w:szCs w:val="21"/>
          <w:lang w:val="en-US" w:eastAsia="zh-CN" w:bidi="ar-SA"/>
          <w14:textFill>
            <w14:solidFill>
              <w14:schemeClr w14:val="tx1"/>
            </w14:solidFill>
          </w14:textFill>
        </w:rPr>
        <w:t>理者、各管理人员</w:t>
      </w:r>
    </w:p>
    <w:p w14:paraId="232A4B9D">
      <w:pPr>
        <w:spacing w:line="276"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t>课程背景：</w:t>
      </w:r>
    </w:p>
    <w:p w14:paraId="14334E46">
      <w:pPr>
        <w:spacing w:line="276" w:lineRule="auto"/>
        <w:ind w:firstLine="400" w:firstLineChars="20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信息公司代表着先进的生产力，也代表着开放、平等、共享、敏捷等先进的管理和价值观，但同时，公司总是出现一些看似简单项目进度，就是陷在项目泥潭里来回纠结，参与项目人越来越多，反而交付越来越慢，沟通成本越来越高。这些事让人不得不怀疑，公司真的小步快跑吗？这些公司的敏捷和迭代能力真的有它们自己以为的那么强大吗？</w:t>
      </w:r>
    </w:p>
    <w:p w14:paraId="594B39FA">
      <w:pPr>
        <w:spacing w:line="276" w:lineRule="auto"/>
        <w:ind w:firstLine="400" w:firstLineChars="20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程将以敏捷领导为切入点，还原商业环境中的实际案例，帮助学员认知敏捷领导的核心要点是什么？项目过程，该如何沟通？企业如何根据所学来设计符合自身商业结构特点的项目管理？企业管理与企业文化之间的连接关系是什么？使学员学之解惑，学之能用，实现企业项目管理与文化创新的突破点，带给企业新的价值增量。</w:t>
      </w:r>
    </w:p>
    <w:p w14:paraId="0CA4C0FD">
      <w:pPr>
        <w:spacing w:line="276"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t>课程目标：</w:t>
      </w:r>
    </w:p>
    <w:p w14:paraId="49C52C0D">
      <w:pPr>
        <w:pStyle w:val="8"/>
        <w:numPr>
          <w:ilvl w:val="0"/>
          <w:numId w:val="1"/>
        </w:numPr>
        <w:spacing w:line="360" w:lineRule="auto"/>
        <w:ind w:firstLineChars="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了解敏捷领导力对V</w:t>
      </w:r>
      <w:r>
        <w:rPr>
          <w:rFonts w:ascii="微软雅黑" w:hAnsi="微软雅黑" w:eastAsia="微软雅黑" w:cs="Times New Roman"/>
          <w:sz w:val="20"/>
          <w:szCs w:val="20"/>
        </w:rPr>
        <w:t>UCA</w:t>
      </w:r>
      <w:r>
        <w:rPr>
          <w:rFonts w:hint="eastAsia" w:ascii="微软雅黑" w:hAnsi="微软雅黑" w:eastAsia="微软雅黑" w:cs="Times New Roman"/>
          <w:sz w:val="20"/>
          <w:szCs w:val="20"/>
        </w:rPr>
        <w:t>时代的影响力</w:t>
      </w:r>
    </w:p>
    <w:p w14:paraId="2C37BDA0">
      <w:pPr>
        <w:pStyle w:val="8"/>
        <w:numPr>
          <w:ilvl w:val="0"/>
          <w:numId w:val="1"/>
        </w:numPr>
        <w:spacing w:line="360" w:lineRule="auto"/>
        <w:ind w:firstLineChars="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认知在领导力实施中应用敏捷管理方法和时机</w:t>
      </w:r>
    </w:p>
    <w:p w14:paraId="717260DD">
      <w:pPr>
        <w:pStyle w:val="8"/>
        <w:numPr>
          <w:ilvl w:val="0"/>
          <w:numId w:val="1"/>
        </w:numPr>
        <w:spacing w:line="360" w:lineRule="auto"/>
        <w:ind w:firstLineChars="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学会设定现实的敏捷项目管理目标，落实执行</w:t>
      </w:r>
    </w:p>
    <w:p w14:paraId="4BFAF1E6">
      <w:pPr>
        <w:pStyle w:val="8"/>
        <w:numPr>
          <w:ilvl w:val="0"/>
          <w:numId w:val="1"/>
        </w:numPr>
        <w:spacing w:line="360" w:lineRule="auto"/>
        <w:ind w:firstLineChars="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掌握行动赋能，辅导员工快速成长</w:t>
      </w:r>
    </w:p>
    <w:p w14:paraId="751EE8E1">
      <w:pPr>
        <w:pStyle w:val="8"/>
        <w:numPr>
          <w:ilvl w:val="0"/>
          <w:numId w:val="1"/>
        </w:numPr>
        <w:spacing w:line="360" w:lineRule="auto"/>
        <w:ind w:firstLineChars="0"/>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学会通过敏捷管理方式扩大到组织流程及企业文化</w:t>
      </w:r>
    </w:p>
    <w:p w14:paraId="2326B6E7">
      <w:pPr>
        <w:spacing w:line="360"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t>课程亮点：</w:t>
      </w:r>
    </w:p>
    <w:p w14:paraId="53B2BAE3">
      <w:pPr>
        <w:pStyle w:val="8"/>
        <w:numPr>
          <w:ilvl w:val="0"/>
          <w:numId w:val="2"/>
        </w:numPr>
        <w:spacing w:line="360" w:lineRule="auto"/>
        <w:ind w:firstLineChars="0"/>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适应VUCA时代的变化</w:t>
      </w:r>
    </w:p>
    <w:p w14:paraId="395AFA18">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drawing>
          <wp:inline distT="0" distB="0" distL="0" distR="0">
            <wp:extent cx="4598035" cy="1432560"/>
            <wp:effectExtent l="0" t="0" r="4445" b="0"/>
            <wp:docPr id="396936521"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36521" name="图片 3" descr="图示&#10;&#10;低可信度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10584" cy="1436632"/>
                    </a:xfrm>
                    <a:prstGeom prst="rect">
                      <a:avLst/>
                    </a:prstGeom>
                  </pic:spPr>
                </pic:pic>
              </a:graphicData>
            </a:graphic>
          </wp:inline>
        </w:drawing>
      </w:r>
    </w:p>
    <w:p w14:paraId="30A50917">
      <w:pPr>
        <w:pStyle w:val="8"/>
        <w:numPr>
          <w:ilvl w:val="0"/>
          <w:numId w:val="2"/>
        </w:numPr>
        <w:spacing w:line="360" w:lineRule="auto"/>
        <w:ind w:firstLineChars="0"/>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敏捷组织---团队具备快速调整战略、结构、流程、人员和科技以获得产生价值和保护已有价值的能力</w:t>
      </w:r>
    </w:p>
    <w:p w14:paraId="46F7AA38">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drawing>
          <wp:inline distT="0" distB="0" distL="0" distR="0">
            <wp:extent cx="4064635" cy="2882900"/>
            <wp:effectExtent l="0" t="0" r="444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0851" cy="2901738"/>
                    </a:xfrm>
                    <a:prstGeom prst="rect">
                      <a:avLst/>
                    </a:prstGeom>
                  </pic:spPr>
                </pic:pic>
              </a:graphicData>
            </a:graphic>
          </wp:inline>
        </w:drawing>
      </w:r>
    </w:p>
    <w:p w14:paraId="2E7F68FC">
      <w:pPr>
        <w:pStyle w:val="8"/>
        <w:numPr>
          <w:ilvl w:val="0"/>
          <w:numId w:val="3"/>
        </w:numPr>
        <w:spacing w:line="360" w:lineRule="auto"/>
        <w:ind w:firstLineChars="0"/>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高效计划实施的WOOP模型</w:t>
      </w:r>
    </w:p>
    <w:p w14:paraId="658CE23C">
      <w:pPr>
        <w:pStyle w:val="8"/>
        <w:spacing w:line="360" w:lineRule="auto"/>
        <w:ind w:left="440" w:firstLine="0" w:firstLineChars="0"/>
        <w:rPr>
          <w:rFonts w:hint="eastAsia" w:ascii="微软雅黑" w:hAnsi="微软雅黑" w:eastAsia="微软雅黑" w:cs="Times New Roman"/>
          <w:b/>
          <w:sz w:val="20"/>
          <w:szCs w:val="20"/>
        </w:rPr>
      </w:pPr>
      <w:r>
        <w:rPr>
          <w:rFonts w:ascii="微软雅黑" w:hAnsi="微软雅黑" w:eastAsia="微软雅黑" w:cs="Times New Roman"/>
          <w:b/>
          <w:sz w:val="20"/>
          <w:szCs w:val="20"/>
        </w:rPr>
        <w:drawing>
          <wp:inline distT="0" distB="0" distL="0" distR="0">
            <wp:extent cx="3795395" cy="2240915"/>
            <wp:effectExtent l="0" t="0" r="14605" b="14605"/>
            <wp:docPr id="672982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82748" name="图片 1"/>
                    <pic:cNvPicPr>
                      <a:picLocks noChangeAspect="1"/>
                    </pic:cNvPicPr>
                  </pic:nvPicPr>
                  <pic:blipFill>
                    <a:blip r:embed="rId6"/>
                    <a:stretch>
                      <a:fillRect/>
                    </a:stretch>
                  </pic:blipFill>
                  <pic:spPr>
                    <a:xfrm>
                      <a:off x="0" y="0"/>
                      <a:ext cx="3832563" cy="2262853"/>
                    </a:xfrm>
                    <a:prstGeom prst="rect">
                      <a:avLst/>
                    </a:prstGeom>
                  </pic:spPr>
                </pic:pic>
              </a:graphicData>
            </a:graphic>
          </wp:inline>
        </w:drawing>
      </w:r>
    </w:p>
    <w:p w14:paraId="77CE2259">
      <w:pPr>
        <w:spacing w:line="360"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t>课程形式：讲授、分组讨论、学员分享、活动、测评、视频、角色演练</w:t>
      </w:r>
    </w:p>
    <w:p w14:paraId="023C7A15">
      <w:pPr>
        <w:spacing w:line="360"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t>课程流程：</w:t>
      </w:r>
    </w:p>
    <w:p w14:paraId="6C9F84E1">
      <w:pPr>
        <w:spacing w:line="360" w:lineRule="auto"/>
        <w:rPr>
          <w:rFonts w:hint="eastAsia" w:ascii="微软雅黑" w:hAnsi="微软雅黑" w:eastAsia="微软雅黑" w:cs="Times New Roman"/>
          <w:b/>
          <w:color w:val="FF0000"/>
          <w:sz w:val="20"/>
          <w:szCs w:val="20"/>
        </w:rPr>
      </w:pPr>
      <w:r>
        <w:rPr>
          <w:rFonts w:hint="eastAsia" w:ascii="微软雅黑" w:hAnsi="微软雅黑" w:eastAsia="微软雅黑" w:cs="Times New Roman"/>
          <w:b/>
          <w:color w:val="FF0000"/>
          <w:sz w:val="20"/>
          <w:szCs w:val="20"/>
        </w:rPr>
        <w:drawing>
          <wp:inline distT="0" distB="0" distL="0" distR="0">
            <wp:extent cx="3550285" cy="1717675"/>
            <wp:effectExtent l="0" t="0" r="635" b="4445"/>
            <wp:docPr id="1208668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68738"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6890" cy="1730399"/>
                    </a:xfrm>
                    <a:prstGeom prst="rect">
                      <a:avLst/>
                    </a:prstGeom>
                  </pic:spPr>
                </pic:pic>
              </a:graphicData>
            </a:graphic>
          </wp:inline>
        </w:drawing>
      </w:r>
    </w:p>
    <w:p w14:paraId="443E912D">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color w:val="FF0000"/>
          <w:sz w:val="20"/>
          <w:szCs w:val="20"/>
        </w:rPr>
        <w:t>课程课时</w:t>
      </w:r>
      <w:r>
        <w:rPr>
          <w:rFonts w:hint="eastAsia" w:ascii="微软雅黑" w:hAnsi="微软雅黑" w:eastAsia="微软雅黑" w:cs="Times New Roman"/>
          <w:b/>
          <w:color w:val="FF0000"/>
          <w:sz w:val="20"/>
          <w:szCs w:val="20"/>
        </w:rPr>
        <w:t>：</w:t>
      </w:r>
      <w:r>
        <w:rPr>
          <w:rFonts w:ascii="微软雅黑" w:hAnsi="微软雅黑" w:eastAsia="微软雅黑" w:cs="Times New Roman"/>
          <w:b/>
          <w:sz w:val="20"/>
          <w:szCs w:val="20"/>
        </w:rPr>
        <w:t>2</w:t>
      </w:r>
      <w:r>
        <w:rPr>
          <w:rFonts w:hint="eastAsia" w:ascii="微软雅黑" w:hAnsi="微软雅黑" w:eastAsia="微软雅黑" w:cs="Times New Roman"/>
          <w:b/>
          <w:sz w:val="20"/>
          <w:szCs w:val="20"/>
        </w:rPr>
        <w:t>天</w:t>
      </w:r>
    </w:p>
    <w:p w14:paraId="18460AE1">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color w:val="FF0000"/>
          <w:sz w:val="20"/>
          <w:szCs w:val="20"/>
        </w:rPr>
        <w:t>课程形式：</w:t>
      </w:r>
      <w:r>
        <w:rPr>
          <w:rFonts w:hint="eastAsia" w:ascii="微软雅黑" w:hAnsi="微软雅黑" w:eastAsia="微软雅黑" w:cs="Times New Roman"/>
          <w:b/>
          <w:sz w:val="20"/>
          <w:szCs w:val="20"/>
        </w:rPr>
        <w:t>讲授、分组讨论、学员分享、活动、测评、视频、角色演练</w:t>
      </w:r>
    </w:p>
    <w:p w14:paraId="2F5453CD">
      <w:pPr>
        <w:adjustRightInd w:val="0"/>
        <w:snapToGrid w:val="0"/>
        <w:spacing w:after="156" w:afterLines="50" w:line="276" w:lineRule="auto"/>
        <w:rPr>
          <w:rFonts w:hint="eastAsia" w:ascii="微软雅黑" w:hAnsi="微软雅黑" w:eastAsia="微软雅黑" w:cs="Arial"/>
          <w:b/>
          <w:color w:val="FF0000"/>
          <w:sz w:val="20"/>
          <w:szCs w:val="20"/>
        </w:rPr>
      </w:pPr>
      <w:r>
        <w:rPr>
          <w:rFonts w:hint="eastAsia" w:ascii="微软雅黑" w:hAnsi="微软雅黑" w:eastAsia="微软雅黑" w:cs="Arial"/>
          <w:b/>
          <w:color w:val="FF0000"/>
          <w:sz w:val="20"/>
          <w:szCs w:val="20"/>
        </w:rPr>
        <w:t>课程内容：</w:t>
      </w:r>
    </w:p>
    <w:tbl>
      <w:tblPr>
        <w:tblStyle w:val="4"/>
        <w:tblW w:w="8596" w:type="dxa"/>
        <w:jc w:val="center"/>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2070"/>
        <w:gridCol w:w="1037"/>
        <w:gridCol w:w="5489"/>
      </w:tblGrid>
      <w:tr w14:paraId="767B27D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070" w:type="dxa"/>
            <w:tcBorders>
              <w:top w:val="single" w:color="auto" w:sz="24" w:space="0"/>
              <w:bottom w:val="single" w:color="auto" w:sz="6" w:space="0"/>
            </w:tcBorders>
            <w:shd w:val="clear" w:color="auto" w:fill="E6E6E6"/>
          </w:tcPr>
          <w:p w14:paraId="511F9AE4">
            <w:pPr>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课程题目</w:t>
            </w:r>
          </w:p>
        </w:tc>
        <w:tc>
          <w:tcPr>
            <w:tcW w:w="1037" w:type="dxa"/>
            <w:tcBorders>
              <w:top w:val="single" w:color="auto" w:sz="24" w:space="0"/>
              <w:bottom w:val="single" w:color="auto" w:sz="6" w:space="0"/>
            </w:tcBorders>
            <w:shd w:val="clear" w:color="auto" w:fill="E6E6E6"/>
          </w:tcPr>
          <w:p w14:paraId="4485F83E">
            <w:pPr>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授课形式</w:t>
            </w:r>
          </w:p>
        </w:tc>
        <w:tc>
          <w:tcPr>
            <w:tcW w:w="5489" w:type="dxa"/>
            <w:tcBorders>
              <w:top w:val="single" w:color="auto" w:sz="24" w:space="0"/>
              <w:bottom w:val="single" w:color="auto" w:sz="6" w:space="0"/>
            </w:tcBorders>
            <w:shd w:val="clear" w:color="auto" w:fill="E6E6E6"/>
          </w:tcPr>
          <w:p w14:paraId="62912D13">
            <w:pPr>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课程内容</w:t>
            </w:r>
          </w:p>
        </w:tc>
      </w:tr>
      <w:tr w14:paraId="76F1DC29">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Borders>
              <w:bottom w:val="single" w:color="auto" w:sz="6" w:space="0"/>
            </w:tcBorders>
          </w:tcPr>
          <w:p w14:paraId="7493FF4B">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第一章：</w:t>
            </w:r>
          </w:p>
          <w:p w14:paraId="42ED80E7">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VUCA时代的敏捷组织变革</w:t>
            </w:r>
          </w:p>
        </w:tc>
        <w:tc>
          <w:tcPr>
            <w:tcW w:w="1037" w:type="dxa"/>
            <w:tcBorders>
              <w:bottom w:val="single" w:color="auto" w:sz="6" w:space="0"/>
            </w:tcBorders>
          </w:tcPr>
          <w:p w14:paraId="37F16E88">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442A2E06">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2134751F">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视频播放</w:t>
            </w:r>
          </w:p>
          <w:p w14:paraId="2C76F669">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Borders>
              <w:bottom w:val="single" w:color="auto" w:sz="6" w:space="0"/>
            </w:tcBorders>
          </w:tcPr>
          <w:p w14:paraId="445CDECC">
            <w:pPr>
              <w:widowControl/>
              <w:shd w:val="clear" w:color="auto" w:fill="FFFFFF"/>
              <w:spacing w:line="360" w:lineRule="auto"/>
              <w:ind w:left="420" w:hanging="420"/>
              <w:rPr>
                <w:rFonts w:hint="eastAsia" w:ascii="微软雅黑" w:hAnsi="微软雅黑" w:eastAsia="微软雅黑"/>
                <w:b/>
                <w:bCs/>
                <w:sz w:val="20"/>
                <w:szCs w:val="20"/>
              </w:rPr>
            </w:pPr>
            <w:r>
              <w:rPr>
                <w:rFonts w:hint="eastAsia" w:ascii="微软雅黑" w:hAnsi="微软雅黑" w:eastAsia="微软雅黑"/>
                <w:b/>
                <w:bCs/>
                <w:sz w:val="20"/>
                <w:szCs w:val="20"/>
              </w:rPr>
              <w:t>1</w:t>
            </w:r>
            <w:r>
              <w:rPr>
                <w:rFonts w:ascii="微软雅黑" w:hAnsi="微软雅黑" w:eastAsia="微软雅黑"/>
                <w:b/>
                <w:bCs/>
                <w:sz w:val="20"/>
                <w:szCs w:val="20"/>
              </w:rPr>
              <w:t xml:space="preserve">. </w:t>
            </w:r>
            <w:r>
              <w:rPr>
                <w:rFonts w:hint="eastAsia" w:ascii="微软雅黑" w:hAnsi="微软雅黑" w:eastAsia="微软雅黑"/>
                <w:b/>
                <w:bCs/>
                <w:sz w:val="20"/>
                <w:szCs w:val="20"/>
              </w:rPr>
              <w:t>我们会迷失在VUCA时代中</w:t>
            </w:r>
          </w:p>
          <w:p w14:paraId="35461EF4">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Volatility（易变性）</w:t>
            </w:r>
          </w:p>
          <w:p w14:paraId="5E1E5220">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Uncertainty（不确定性）</w:t>
            </w:r>
          </w:p>
          <w:p w14:paraId="4C418D83">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Complexity（复杂性）</w:t>
            </w:r>
          </w:p>
          <w:p w14:paraId="5A5B27CE">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Ambiguity（模糊性）</w:t>
            </w:r>
          </w:p>
          <w:p w14:paraId="6BE7ABDD">
            <w:pPr>
              <w:widowControl/>
              <w:shd w:val="clear" w:color="auto" w:fill="FFFFFF"/>
              <w:spacing w:line="360" w:lineRule="auto"/>
              <w:ind w:left="420" w:hanging="420"/>
              <w:rPr>
                <w:rFonts w:hint="eastAsia" w:ascii="微软雅黑" w:hAnsi="微软雅黑" w:eastAsia="微软雅黑"/>
                <w:b/>
                <w:bCs/>
                <w:sz w:val="20"/>
                <w:szCs w:val="20"/>
              </w:rPr>
            </w:pPr>
            <w:r>
              <w:rPr>
                <w:rFonts w:ascii="微软雅黑" w:hAnsi="微软雅黑" w:eastAsia="微软雅黑"/>
                <w:b/>
                <w:bCs/>
                <w:sz w:val="20"/>
                <w:szCs w:val="20"/>
              </w:rPr>
              <w:t>2</w:t>
            </w:r>
            <w:r>
              <w:rPr>
                <w:rFonts w:hint="eastAsia" w:ascii="微软雅黑" w:hAnsi="微软雅黑" w:eastAsia="微软雅黑"/>
                <w:b/>
                <w:bCs/>
                <w:sz w:val="20"/>
                <w:szCs w:val="20"/>
              </w:rPr>
              <w:t>.</w:t>
            </w:r>
            <w:r>
              <w:rPr>
                <w:rFonts w:hint="eastAsia"/>
                <w:sz w:val="20"/>
                <w:szCs w:val="20"/>
              </w:rPr>
              <w:t xml:space="preserve"> </w:t>
            </w:r>
            <w:r>
              <w:rPr>
                <w:rFonts w:hint="eastAsia" w:ascii="微软雅黑" w:hAnsi="微软雅黑" w:eastAsia="微软雅黑"/>
                <w:b/>
                <w:bCs/>
                <w:sz w:val="20"/>
                <w:szCs w:val="20"/>
              </w:rPr>
              <w:t>敏捷组织---团队具备快速调整战略、结构、流程、人员和科技，以获得产生价值和保护已有价值的能力</w:t>
            </w:r>
          </w:p>
          <w:p w14:paraId="6C497A5C">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从“机器型”组织到“生物型”组织</w:t>
            </w:r>
          </w:p>
          <w:p w14:paraId="59E81CBF">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从“等级制”到“轻界限重行动”</w:t>
            </w:r>
          </w:p>
          <w:p w14:paraId="38A3B902">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从“官僚制”到“快速变化资源灵活”</w:t>
            </w:r>
          </w:p>
          <w:p w14:paraId="7BFD5199">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从“详细指令”到“领导者确定方向并为行动赋能”</w:t>
            </w:r>
          </w:p>
          <w:p w14:paraId="11ABF256">
            <w:pPr>
              <w:pStyle w:val="8"/>
              <w:widowControl/>
              <w:numPr>
                <w:ilvl w:val="0"/>
                <w:numId w:val="4"/>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从“部门墙”到“团队间建立协同性责任”</w:t>
            </w:r>
          </w:p>
          <w:p w14:paraId="7FF335B3">
            <w:pPr>
              <w:widowControl/>
              <w:shd w:val="clear" w:color="auto" w:fill="FFFFFF"/>
              <w:spacing w:line="360" w:lineRule="auto"/>
              <w:ind w:left="420" w:hanging="420"/>
              <w:rPr>
                <w:rFonts w:hint="eastAsia" w:ascii="微软雅黑" w:hAnsi="微软雅黑" w:eastAsia="微软雅黑"/>
                <w:b/>
                <w:bCs/>
                <w:sz w:val="20"/>
                <w:szCs w:val="20"/>
              </w:rPr>
            </w:pPr>
            <w:r>
              <w:rPr>
                <w:rFonts w:ascii="微软雅黑" w:hAnsi="微软雅黑" w:eastAsia="微软雅黑"/>
                <w:b/>
                <w:bCs/>
                <w:sz w:val="20"/>
                <w:szCs w:val="20"/>
              </w:rPr>
              <w:t>3</w:t>
            </w:r>
            <w:r>
              <w:rPr>
                <w:rFonts w:hint="eastAsia" w:ascii="微软雅黑" w:hAnsi="微软雅黑" w:eastAsia="微软雅黑"/>
                <w:b/>
                <w:bCs/>
                <w:sz w:val="20"/>
                <w:szCs w:val="20"/>
              </w:rPr>
              <w:t>.麦肯锡根据对企业中实践的调研与总结，提出了敏捷组织理念</w:t>
            </w:r>
          </w:p>
          <w:p w14:paraId="3EA66646">
            <w:pPr>
              <w:pStyle w:val="8"/>
              <w:widowControl/>
              <w:numPr>
                <w:ilvl w:val="0"/>
                <w:numId w:val="5"/>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敏捷性=稳定性+活力度（敏捷性矩阵）</w:t>
            </w:r>
          </w:p>
          <w:p w14:paraId="5C1AD047">
            <w:pPr>
              <w:pStyle w:val="8"/>
              <w:widowControl/>
              <w:numPr>
                <w:ilvl w:val="0"/>
                <w:numId w:val="6"/>
              </w:numPr>
              <w:shd w:val="clear" w:color="auto" w:fill="FFFFFF"/>
              <w:spacing w:line="360" w:lineRule="auto"/>
              <w:ind w:firstLineChars="0"/>
              <w:rPr>
                <w:rFonts w:hint="eastAsia" w:ascii="微软雅黑" w:hAnsi="微软雅黑" w:eastAsia="微软雅黑"/>
                <w:sz w:val="20"/>
                <w:szCs w:val="20"/>
              </w:rPr>
            </w:pPr>
            <w:r>
              <w:rPr>
                <w:rFonts w:hint="eastAsia" w:ascii="微软雅黑" w:hAnsi="微软雅黑" w:eastAsia="微软雅黑"/>
                <w:sz w:val="20"/>
                <w:szCs w:val="20"/>
              </w:rPr>
              <w:t>指导方向与原则</w:t>
            </w:r>
            <w:r>
              <w:rPr>
                <w:rFonts w:ascii="微软雅黑" w:hAnsi="微软雅黑" w:eastAsia="微软雅黑"/>
                <w:sz w:val="20"/>
                <w:szCs w:val="20"/>
              </w:rPr>
              <w:t>---</w:t>
            </w:r>
            <w:r>
              <w:rPr>
                <w:rFonts w:hint="eastAsia" w:ascii="微软雅黑" w:hAnsi="微软雅黑" w:eastAsia="微软雅黑"/>
                <w:sz w:val="20"/>
                <w:szCs w:val="20"/>
              </w:rPr>
              <w:t>更加紧密的贴近市场与客户，提升对客户的响应速度与服务质量</w:t>
            </w:r>
          </w:p>
          <w:p w14:paraId="386CCA62">
            <w:pPr>
              <w:pStyle w:val="8"/>
              <w:widowControl/>
              <w:numPr>
                <w:ilvl w:val="0"/>
                <w:numId w:val="6"/>
              </w:numPr>
              <w:shd w:val="clear" w:color="auto" w:fill="FFFFFF"/>
              <w:spacing w:line="360" w:lineRule="auto"/>
              <w:ind w:firstLineChars="0"/>
              <w:rPr>
                <w:rFonts w:hint="eastAsia" w:ascii="微软雅黑" w:hAnsi="微软雅黑" w:eastAsia="微软雅黑"/>
              </w:rPr>
            </w:pPr>
            <w:r>
              <w:rPr>
                <w:rFonts w:hint="eastAsia" w:ascii="微软雅黑" w:hAnsi="微软雅黑" w:eastAsia="微软雅黑"/>
                <w:sz w:val="20"/>
                <w:szCs w:val="20"/>
              </w:rPr>
              <w:t>提升敏捷性措施</w:t>
            </w:r>
            <w:r>
              <w:rPr>
                <w:rFonts w:ascii="微软雅黑" w:hAnsi="微软雅黑" w:eastAsia="微软雅黑"/>
                <w:sz w:val="20"/>
                <w:szCs w:val="20"/>
              </w:rPr>
              <w:t>---</w:t>
            </w:r>
            <w:r>
              <w:rPr>
                <w:rFonts w:hint="eastAsia" w:ascii="微软雅黑" w:hAnsi="微软雅黑" w:eastAsia="微软雅黑"/>
                <w:sz w:val="20"/>
                <w:szCs w:val="20"/>
              </w:rPr>
              <w:t>塑造具备敏捷反应能力系统，这个系统既具备持续的稳定性</w:t>
            </w:r>
            <w:r>
              <w:rPr>
                <w:rFonts w:ascii="微软雅黑" w:hAnsi="微软雅黑" w:eastAsia="微软雅黑"/>
                <w:sz w:val="20"/>
                <w:szCs w:val="20"/>
              </w:rPr>
              <w:t xml:space="preserve"> </w:t>
            </w:r>
            <w:r>
              <w:rPr>
                <w:rFonts w:hint="eastAsia" w:ascii="微软雅黑" w:hAnsi="微软雅黑" w:eastAsia="微软雅黑"/>
                <w:sz w:val="20"/>
                <w:szCs w:val="20"/>
              </w:rPr>
              <w:t>，也具备更好服务客户的活</w:t>
            </w:r>
            <w:r>
              <w:rPr>
                <w:rFonts w:hint="eastAsia" w:ascii="微软雅黑" w:hAnsi="微软雅黑" w:eastAsia="微软雅黑"/>
              </w:rPr>
              <w:t>力</w:t>
            </w:r>
          </w:p>
          <w:p w14:paraId="6AD7E179">
            <w:pPr>
              <w:widowControl/>
              <w:shd w:val="clear" w:color="auto" w:fill="FFFFFF"/>
              <w:spacing w:line="360" w:lineRule="auto"/>
              <w:rPr>
                <w:rFonts w:hint="eastAsia" w:ascii="微软雅黑" w:hAnsi="微软雅黑" w:eastAsia="微软雅黑"/>
                <w:b/>
                <w:bCs/>
              </w:rPr>
            </w:pPr>
            <w:r>
              <w:rPr>
                <w:rFonts w:hint="eastAsia" w:ascii="微软雅黑" w:hAnsi="微软雅黑" w:eastAsia="微软雅黑"/>
                <w:b/>
                <w:bCs/>
                <w:color w:val="FF0000"/>
                <w:sz w:val="20"/>
                <w:szCs w:val="21"/>
              </w:rPr>
              <w:t>成果输出：</w:t>
            </w:r>
            <w:r>
              <w:rPr>
                <w:rFonts w:hint="eastAsia" w:ascii="微软雅黑" w:hAnsi="微软雅黑" w:eastAsia="微软雅黑"/>
                <w:b/>
                <w:bCs/>
                <w:sz w:val="20"/>
                <w:szCs w:val="21"/>
                <w:u w:val="single"/>
              </w:rPr>
              <w:t>掌握VUCA时代的组织特质；掌握麦肯锡敏捷组织模型</w:t>
            </w:r>
          </w:p>
        </w:tc>
      </w:tr>
      <w:tr w14:paraId="17B30503">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Borders>
              <w:bottom w:val="single" w:color="auto" w:sz="6" w:space="0"/>
            </w:tcBorders>
          </w:tcPr>
          <w:p w14:paraId="4311271B">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第二章：</w:t>
            </w:r>
          </w:p>
          <w:p w14:paraId="21014E4D">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从“机器型”组织到“生物型”组织</w:t>
            </w:r>
          </w:p>
          <w:p w14:paraId="366CCFAA">
            <w:pPr>
              <w:adjustRightInd w:val="0"/>
              <w:snapToGrid w:val="0"/>
              <w:spacing w:line="276" w:lineRule="auto"/>
              <w:rPr>
                <w:rFonts w:hint="eastAsia" w:ascii="微软雅黑" w:hAnsi="微软雅黑" w:eastAsia="微软雅黑" w:cs="Times New Roman"/>
                <w:b/>
                <w:sz w:val="20"/>
                <w:szCs w:val="20"/>
              </w:rPr>
            </w:pPr>
          </w:p>
        </w:tc>
        <w:tc>
          <w:tcPr>
            <w:tcW w:w="1037" w:type="dxa"/>
            <w:tcBorders>
              <w:bottom w:val="single" w:color="auto" w:sz="6" w:space="0"/>
            </w:tcBorders>
          </w:tcPr>
          <w:p w14:paraId="17FECD94">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25216987">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5FBD81CF">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视频播放</w:t>
            </w:r>
          </w:p>
          <w:p w14:paraId="07677418">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Borders>
              <w:bottom w:val="single" w:color="auto" w:sz="6" w:space="0"/>
            </w:tcBorders>
          </w:tcPr>
          <w:p w14:paraId="33026512">
            <w:pPr>
              <w:widowControl/>
              <w:shd w:val="clear" w:color="auto" w:fill="FFFFFF"/>
              <w:spacing w:line="360" w:lineRule="auto"/>
              <w:ind w:left="420" w:hanging="420"/>
            </w:pPr>
            <w:r>
              <w:rPr>
                <w:rFonts w:ascii="微软雅黑" w:hAnsi="微软雅黑" w:eastAsia="微软雅黑" w:cs="Calibri"/>
                <w:b/>
                <w:bCs/>
                <w:color w:val="000000"/>
                <w:kern w:val="0"/>
                <w:sz w:val="20"/>
                <w:szCs w:val="20"/>
              </w:rPr>
              <w:t>1</w:t>
            </w:r>
            <w:r>
              <w:rPr>
                <w:rFonts w:hint="eastAsia" w:ascii="微软雅黑" w:hAnsi="微软雅黑" w:eastAsia="微软雅黑" w:cs="Calibri"/>
                <w:b/>
                <w:bCs/>
                <w:color w:val="000000"/>
                <w:kern w:val="0"/>
                <w:sz w:val="20"/>
                <w:szCs w:val="20"/>
              </w:rPr>
              <w:t>.</w:t>
            </w:r>
            <w:r>
              <w:rPr>
                <w:rFonts w:hint="eastAsia"/>
              </w:rPr>
              <w:t xml:space="preserve"> </w:t>
            </w:r>
            <w:r>
              <w:rPr>
                <w:rFonts w:hint="eastAsia" w:ascii="微软雅黑" w:hAnsi="微软雅黑" w:eastAsia="微软雅黑"/>
                <w:b/>
                <w:bCs/>
              </w:rPr>
              <w:t>从泰勒的系统标准化到现行的“多维度判断”管理</w:t>
            </w:r>
          </w:p>
          <w:p w14:paraId="39CAA403">
            <w:pPr>
              <w:widowControl/>
              <w:shd w:val="clear" w:color="auto" w:fill="FFFFFF"/>
              <w:spacing w:line="360" w:lineRule="auto"/>
              <w:ind w:left="420" w:hanging="420"/>
              <w:rPr>
                <w:rFonts w:ascii="Calibri" w:hAnsi="Calibri" w:eastAsia="宋体" w:cs="Calibri"/>
                <w:color w:val="000000"/>
                <w:kern w:val="0"/>
                <w:sz w:val="22"/>
              </w:rPr>
            </w:pPr>
            <w:r>
              <w:rPr>
                <w:rFonts w:hint="eastAsia" w:ascii="微软雅黑" w:hAnsi="微软雅黑" w:eastAsia="微软雅黑" w:cs="Calibri"/>
                <w:b/>
                <w:bCs/>
                <w:color w:val="000000"/>
                <w:kern w:val="0"/>
                <w:sz w:val="20"/>
                <w:szCs w:val="20"/>
              </w:rPr>
              <w:t>2.</w:t>
            </w:r>
            <w:r>
              <w:rPr>
                <w:rFonts w:ascii="微软雅黑" w:hAnsi="微软雅黑" w:eastAsia="微软雅黑" w:cs="Calibri"/>
                <w:b/>
                <w:bCs/>
                <w:color w:val="000000"/>
                <w:kern w:val="0"/>
                <w:sz w:val="20"/>
                <w:szCs w:val="20"/>
              </w:rPr>
              <w:t xml:space="preserve"> </w:t>
            </w:r>
            <w:r>
              <w:rPr>
                <w:rFonts w:hint="eastAsia" w:ascii="微软雅黑" w:hAnsi="微软雅黑" w:eastAsia="微软雅黑" w:cs="Calibri"/>
                <w:b/>
                <w:bCs/>
                <w:color w:val="000000"/>
                <w:kern w:val="0"/>
                <w:sz w:val="20"/>
                <w:szCs w:val="20"/>
              </w:rPr>
              <w:t>领导者的职权力与非职权力</w:t>
            </w:r>
          </w:p>
          <w:p w14:paraId="6471A1E8">
            <w:pPr>
              <w:spacing w:line="276" w:lineRule="auto"/>
              <w:rPr>
                <w:rFonts w:hint="eastAsia" w:ascii="微软雅黑" w:hAnsi="微软雅黑" w:eastAsia="微软雅黑" w:cs="Calibri"/>
                <w:b/>
                <w:bCs/>
                <w:color w:val="000000"/>
                <w:kern w:val="0"/>
                <w:sz w:val="20"/>
                <w:szCs w:val="20"/>
              </w:rPr>
            </w:pPr>
            <w:r>
              <w:rPr>
                <w:rFonts w:ascii="微软雅黑" w:hAnsi="微软雅黑" w:eastAsia="微软雅黑" w:cs="Calibri"/>
                <w:b/>
                <w:bCs/>
                <w:color w:val="000000"/>
                <w:kern w:val="0"/>
                <w:sz w:val="20"/>
                <w:szCs w:val="20"/>
              </w:rPr>
              <w:t xml:space="preserve">3. </w:t>
            </w:r>
            <w:r>
              <w:rPr>
                <w:rFonts w:hint="eastAsia" w:ascii="微软雅黑" w:hAnsi="微软雅黑" w:eastAsia="微软雅黑" w:cs="Calibri"/>
                <w:b/>
                <w:bCs/>
                <w:color w:val="000000"/>
                <w:kern w:val="0"/>
                <w:sz w:val="20"/>
                <w:szCs w:val="20"/>
              </w:rPr>
              <w:t>驱动力（drive）3.0时代的到来</w:t>
            </w:r>
          </w:p>
          <w:p w14:paraId="7635707A">
            <w:pPr>
              <w:pStyle w:val="8"/>
              <w:numPr>
                <w:ilvl w:val="0"/>
                <w:numId w:val="7"/>
              </w:numPr>
              <w:spacing w:line="276" w:lineRule="auto"/>
              <w:ind w:firstLineChars="0"/>
              <w:rPr>
                <w:rFonts w:hint="eastAsia" w:ascii="微软雅黑" w:hAnsi="微软雅黑" w:eastAsia="微软雅黑" w:cs="Calibri"/>
                <w:color w:val="000000"/>
                <w:kern w:val="0"/>
                <w:sz w:val="20"/>
                <w:szCs w:val="20"/>
              </w:rPr>
            </w:pPr>
            <w:r>
              <w:rPr>
                <w:rFonts w:hint="eastAsia" w:ascii="微软雅黑" w:hAnsi="微软雅黑" w:eastAsia="微软雅黑" w:cs="Calibri"/>
                <w:color w:val="000000"/>
                <w:kern w:val="0"/>
                <w:sz w:val="20"/>
                <w:szCs w:val="20"/>
              </w:rPr>
              <w:t>驱动力1.0---生物性驱动力</w:t>
            </w:r>
          </w:p>
          <w:p w14:paraId="7B2900E9">
            <w:pPr>
              <w:pStyle w:val="8"/>
              <w:numPr>
                <w:ilvl w:val="0"/>
                <w:numId w:val="7"/>
              </w:numPr>
              <w:spacing w:line="276" w:lineRule="auto"/>
              <w:ind w:firstLineChars="0"/>
              <w:rPr>
                <w:rFonts w:hint="eastAsia" w:ascii="微软雅黑" w:hAnsi="微软雅黑" w:eastAsia="微软雅黑" w:cs="Calibri"/>
                <w:color w:val="000000"/>
                <w:kern w:val="0"/>
                <w:sz w:val="20"/>
                <w:szCs w:val="20"/>
              </w:rPr>
            </w:pPr>
            <w:r>
              <w:rPr>
                <w:rFonts w:hint="eastAsia" w:ascii="微软雅黑" w:hAnsi="微软雅黑" w:eastAsia="微软雅黑" w:cs="Calibri"/>
                <w:color w:val="000000"/>
                <w:kern w:val="0"/>
                <w:sz w:val="20"/>
                <w:szCs w:val="20"/>
              </w:rPr>
              <w:t>驱动力2.0---外在动力（奖励与惩罚）</w:t>
            </w:r>
          </w:p>
          <w:p w14:paraId="0F4B93E5">
            <w:pPr>
              <w:pStyle w:val="8"/>
              <w:widowControl/>
              <w:numPr>
                <w:ilvl w:val="0"/>
                <w:numId w:val="7"/>
              </w:numPr>
              <w:shd w:val="clear" w:color="auto" w:fill="FFFFFF"/>
              <w:spacing w:line="360" w:lineRule="auto"/>
              <w:ind w:firstLineChars="0"/>
              <w:rPr>
                <w:rFonts w:hint="eastAsia" w:ascii="微软雅黑" w:hAnsi="微软雅黑" w:eastAsia="微软雅黑" w:cs="Calibri"/>
                <w:bCs/>
                <w:color w:val="000000"/>
                <w:kern w:val="0"/>
                <w:sz w:val="20"/>
                <w:szCs w:val="20"/>
              </w:rPr>
            </w:pPr>
            <w:r>
              <w:rPr>
                <w:rFonts w:hint="eastAsia" w:ascii="微软雅黑" w:hAnsi="微软雅黑" w:eastAsia="微软雅黑" w:cs="Calibri"/>
                <w:color w:val="000000"/>
                <w:kern w:val="0"/>
                <w:sz w:val="20"/>
                <w:szCs w:val="20"/>
              </w:rPr>
              <w:t>驱动力3.0---完成任务取得成绩就是内在奖励</w:t>
            </w:r>
          </w:p>
          <w:p w14:paraId="6B9961E0">
            <w:pPr>
              <w:widowControl/>
              <w:shd w:val="clear" w:color="auto" w:fill="FFFFFF"/>
              <w:spacing w:line="360" w:lineRule="auto"/>
              <w:rPr>
                <w:rFonts w:hint="eastAsia" w:ascii="微软雅黑" w:hAnsi="微软雅黑" w:eastAsia="微软雅黑" w:cs="Calibri"/>
                <w:b/>
                <w:color w:val="000000"/>
                <w:kern w:val="0"/>
                <w:sz w:val="20"/>
                <w:szCs w:val="20"/>
              </w:rPr>
            </w:pPr>
            <w:r>
              <w:rPr>
                <w:rFonts w:ascii="微软雅黑" w:hAnsi="微软雅黑" w:eastAsia="微软雅黑" w:cs="Calibri"/>
                <w:b/>
                <w:color w:val="000000"/>
                <w:kern w:val="0"/>
                <w:sz w:val="20"/>
                <w:szCs w:val="20"/>
              </w:rPr>
              <w:t>4</w:t>
            </w:r>
            <w:r>
              <w:rPr>
                <w:rFonts w:hint="eastAsia" w:ascii="微软雅黑" w:hAnsi="微软雅黑" w:eastAsia="微软雅黑" w:cs="Calibri"/>
                <w:b/>
                <w:color w:val="000000"/>
                <w:kern w:val="0"/>
                <w:sz w:val="20"/>
                <w:szCs w:val="20"/>
              </w:rPr>
              <w:t>.</w:t>
            </w:r>
            <w:r>
              <w:rPr>
                <w:rFonts w:hint="eastAsia"/>
                <w:b/>
              </w:rPr>
              <w:t xml:space="preserve"> </w:t>
            </w:r>
            <w:r>
              <w:rPr>
                <w:rFonts w:hint="eastAsia" w:ascii="微软雅黑" w:hAnsi="微软雅黑" w:eastAsia="微软雅黑" w:cs="Calibri"/>
                <w:b/>
                <w:color w:val="000000"/>
                <w:kern w:val="0"/>
                <w:sz w:val="20"/>
                <w:szCs w:val="20"/>
              </w:rPr>
              <w:t>高参与员工  vs. 低参与员工</w:t>
            </w:r>
          </w:p>
          <w:p w14:paraId="5F66B20B">
            <w:pPr>
              <w:pStyle w:val="8"/>
              <w:widowControl/>
              <w:numPr>
                <w:ilvl w:val="0"/>
                <w:numId w:val="8"/>
              </w:numPr>
              <w:shd w:val="clear" w:color="auto" w:fill="FFFFFF"/>
              <w:spacing w:line="360" w:lineRule="auto"/>
              <w:ind w:firstLineChars="0"/>
              <w:rPr>
                <w:rFonts w:hint="eastAsia" w:ascii="微软雅黑" w:hAnsi="微软雅黑" w:eastAsia="微软雅黑" w:cs="Calibri"/>
                <w:bCs/>
                <w:color w:val="000000"/>
                <w:kern w:val="0"/>
                <w:sz w:val="20"/>
                <w:szCs w:val="20"/>
              </w:rPr>
            </w:pPr>
            <w:r>
              <w:rPr>
                <w:rFonts w:hint="eastAsia" w:ascii="微软雅黑" w:hAnsi="微软雅黑" w:eastAsia="微软雅黑" w:cs="Calibri"/>
                <w:bCs/>
                <w:color w:val="000000"/>
                <w:kern w:val="0"/>
                <w:sz w:val="20"/>
                <w:szCs w:val="20"/>
              </w:rPr>
              <w:t>高参与投入的员工相信他们可以对企业有更多的贡献，忠诚度也较高。</w:t>
            </w:r>
          </w:p>
          <w:p w14:paraId="26DD6D33">
            <w:pPr>
              <w:widowControl/>
              <w:shd w:val="clear" w:color="auto" w:fill="FFFFFF"/>
              <w:spacing w:line="360" w:lineRule="auto"/>
              <w:rPr>
                <w:rFonts w:hint="eastAsia" w:ascii="微软雅黑" w:hAnsi="微软雅黑" w:eastAsia="微软雅黑" w:cs="Calibri"/>
                <w:b/>
                <w:color w:val="000000"/>
                <w:kern w:val="0"/>
                <w:sz w:val="20"/>
                <w:szCs w:val="20"/>
              </w:rPr>
            </w:pPr>
            <w:r>
              <w:rPr>
                <w:rFonts w:hint="eastAsia" w:ascii="微软雅黑" w:hAnsi="微软雅黑" w:eastAsia="微软雅黑" w:cs="Calibri"/>
                <w:b/>
                <w:color w:val="FF0000"/>
                <w:kern w:val="0"/>
                <w:sz w:val="20"/>
                <w:szCs w:val="20"/>
              </w:rPr>
              <w:t>成果输出：</w:t>
            </w:r>
            <w:r>
              <w:rPr>
                <w:rFonts w:hint="eastAsia" w:ascii="微软雅黑" w:hAnsi="微软雅黑" w:eastAsia="微软雅黑" w:cs="Calibri"/>
                <w:b/>
                <w:color w:val="000000"/>
                <w:kern w:val="0"/>
                <w:sz w:val="20"/>
                <w:szCs w:val="20"/>
                <w:u w:val="single"/>
              </w:rPr>
              <w:t>掌握高效“多维度判断”管理；重视非职权力；掌握驱动力三个时代；如何让员工做到“高参与度”</w:t>
            </w:r>
          </w:p>
        </w:tc>
      </w:tr>
      <w:tr w14:paraId="1FD9E67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Pr>
          <w:p w14:paraId="10712F90">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第三章：</w:t>
            </w:r>
          </w:p>
          <w:p w14:paraId="283CCA39">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以结果为导向---可控与低成本</w:t>
            </w:r>
          </w:p>
        </w:tc>
        <w:tc>
          <w:tcPr>
            <w:tcW w:w="1037" w:type="dxa"/>
          </w:tcPr>
          <w:p w14:paraId="16E64FA9">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1C8ABA79">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3F26B7B6">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Pr>
          <w:p w14:paraId="28798353">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1.从“等级制”到“轻界限重行动”</w:t>
            </w:r>
          </w:p>
          <w:p w14:paraId="0A41C26B">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2</w:t>
            </w:r>
            <w:r>
              <w:rPr>
                <w:rFonts w:hint="eastAsia" w:ascii="微软雅黑" w:hAnsi="微软雅黑" w:eastAsia="微软雅黑" w:cs="Times New Roman"/>
                <w:b/>
                <w:sz w:val="20"/>
                <w:szCs w:val="20"/>
              </w:rPr>
              <w:t>.案例：现行的工作模式---多失败，快失败</w:t>
            </w:r>
          </w:p>
          <w:p w14:paraId="277D8903">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3</w:t>
            </w:r>
            <w:r>
              <w:rPr>
                <w:rFonts w:ascii="微软雅黑" w:hAnsi="微软雅黑" w:eastAsia="微软雅黑" w:cs="Times New Roman"/>
                <w:b/>
                <w:sz w:val="20"/>
                <w:szCs w:val="20"/>
              </w:rPr>
              <w:t>.</w:t>
            </w:r>
            <w:r>
              <w:rPr>
                <w:rFonts w:hint="eastAsia"/>
              </w:rPr>
              <w:t xml:space="preserve"> </w:t>
            </w:r>
            <w:r>
              <w:rPr>
                <w:rFonts w:hint="eastAsia" w:ascii="微软雅黑" w:hAnsi="微软雅黑" w:eastAsia="微软雅黑" w:cs="Times New Roman"/>
                <w:b/>
                <w:sz w:val="20"/>
                <w:szCs w:val="20"/>
              </w:rPr>
              <w:t>WOOP模型</w:t>
            </w:r>
          </w:p>
          <w:p w14:paraId="5414BFC4">
            <w:pPr>
              <w:pStyle w:val="8"/>
              <w:numPr>
                <w:ilvl w:val="0"/>
                <w:numId w:val="8"/>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
                <w:sz w:val="20"/>
                <w:szCs w:val="20"/>
              </w:rPr>
              <w:t>Wish（愿望）</w:t>
            </w: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w:t>
            </w:r>
            <w:r>
              <w:rPr>
                <w:rFonts w:hint="eastAsia" w:ascii="微软雅黑" w:hAnsi="微软雅黑" w:eastAsia="微软雅黑" w:cs="Times New Roman"/>
                <w:bCs/>
                <w:sz w:val="20"/>
                <w:szCs w:val="20"/>
              </w:rPr>
              <w:t>你想要做的事情是什么？为什么你要做这件事？背后的深层</w:t>
            </w:r>
          </w:p>
          <w:p w14:paraId="54BBE7EE">
            <w:pPr>
              <w:pStyle w:val="8"/>
              <w:numPr>
                <w:ilvl w:val="0"/>
                <w:numId w:val="8"/>
              </w:numPr>
              <w:spacing w:line="360" w:lineRule="auto"/>
              <w:ind w:firstLineChars="0"/>
              <w:rPr>
                <w:rFonts w:hint="eastAsia" w:ascii="微软雅黑" w:hAnsi="微软雅黑" w:eastAsia="微软雅黑" w:cs="Times New Roman"/>
                <w:bCs/>
                <w:sz w:val="20"/>
                <w:szCs w:val="20"/>
              </w:rPr>
            </w:pPr>
            <w:r>
              <w:rPr>
                <w:rFonts w:ascii="微软雅黑" w:hAnsi="微软雅黑" w:eastAsia="微软雅黑" w:cs="Times New Roman"/>
                <w:b/>
                <w:sz w:val="20"/>
                <w:szCs w:val="20"/>
              </w:rPr>
              <w:t>O</w:t>
            </w:r>
            <w:r>
              <w:rPr>
                <w:rFonts w:hint="eastAsia" w:ascii="微软雅黑" w:hAnsi="微软雅黑" w:eastAsia="微软雅黑" w:cs="Times New Roman"/>
                <w:b/>
                <w:sz w:val="20"/>
                <w:szCs w:val="20"/>
              </w:rPr>
              <w:t>utcome（结果）</w:t>
            </w: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w:t>
            </w:r>
            <w:r>
              <w:rPr>
                <w:rFonts w:hint="eastAsia" w:ascii="微软雅黑" w:hAnsi="微软雅黑" w:eastAsia="微软雅黑" w:cs="Times New Roman"/>
                <w:bCs/>
                <w:sz w:val="20"/>
                <w:szCs w:val="20"/>
              </w:rPr>
              <w:t>完成了这个计划，会产生什么好的结果，把最美好的画面想象出来，越生动具体越好</w:t>
            </w:r>
          </w:p>
          <w:p w14:paraId="0A9ED9FB">
            <w:pPr>
              <w:pStyle w:val="8"/>
              <w:numPr>
                <w:ilvl w:val="0"/>
                <w:numId w:val="8"/>
              </w:numPr>
              <w:spacing w:line="360" w:lineRule="auto"/>
              <w:ind w:firstLineChars="0"/>
              <w:rPr>
                <w:rFonts w:hint="eastAsia" w:ascii="微软雅黑" w:hAnsi="微软雅黑" w:eastAsia="微软雅黑" w:cs="Times New Roman"/>
                <w:bCs/>
                <w:sz w:val="20"/>
                <w:szCs w:val="20"/>
              </w:rPr>
            </w:pPr>
            <w:r>
              <w:rPr>
                <w:rFonts w:ascii="微软雅黑" w:hAnsi="微软雅黑" w:eastAsia="微软雅黑" w:cs="Times New Roman"/>
                <w:b/>
                <w:sz w:val="20"/>
                <w:szCs w:val="20"/>
              </w:rPr>
              <w:t>Obstacle</w:t>
            </w:r>
            <w:r>
              <w:rPr>
                <w:rFonts w:hint="eastAsia" w:ascii="微软雅黑" w:hAnsi="微软雅黑" w:eastAsia="微软雅黑" w:cs="Times New Roman"/>
                <w:b/>
                <w:sz w:val="20"/>
                <w:szCs w:val="20"/>
              </w:rPr>
              <w:t>（障碍）</w:t>
            </w: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w:t>
            </w:r>
            <w:r>
              <w:rPr>
                <w:rFonts w:hint="eastAsia" w:ascii="微软雅黑" w:hAnsi="微软雅黑" w:eastAsia="微软雅黑" w:cs="Times New Roman"/>
                <w:bCs/>
                <w:sz w:val="20"/>
                <w:szCs w:val="20"/>
              </w:rPr>
              <w:t>在执行计划时，可能遇到的障碍有哪些？将所有可能发生的障碍罗列出来！实事求是地评估这个计划的难度。</w:t>
            </w:r>
          </w:p>
          <w:p w14:paraId="654562D3">
            <w:pPr>
              <w:pStyle w:val="8"/>
              <w:numPr>
                <w:ilvl w:val="0"/>
                <w:numId w:val="8"/>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
                <w:sz w:val="20"/>
                <w:szCs w:val="20"/>
              </w:rPr>
              <w:t>Plan（计划）</w:t>
            </w: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w:t>
            </w:r>
            <w:r>
              <w:rPr>
                <w:rFonts w:hint="eastAsia" w:ascii="微软雅黑" w:hAnsi="微软雅黑" w:eastAsia="微软雅黑" w:cs="Times New Roman"/>
                <w:bCs/>
                <w:sz w:val="20"/>
                <w:szCs w:val="20"/>
              </w:rPr>
              <w:t>写出你的计划，要符合SMART原则，具体、可衡量、可实现、可观察、有截止期限。</w:t>
            </w:r>
          </w:p>
          <w:p w14:paraId="4B629423">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color w:val="FF0000"/>
                <w:sz w:val="20"/>
                <w:szCs w:val="20"/>
              </w:rPr>
              <w:t>成果输出：</w:t>
            </w:r>
            <w:r>
              <w:rPr>
                <w:rFonts w:hint="eastAsia" w:ascii="微软雅黑" w:hAnsi="微软雅黑" w:eastAsia="微软雅黑" w:cs="Times New Roman"/>
                <w:b/>
                <w:sz w:val="20"/>
                <w:szCs w:val="20"/>
                <w:u w:val="single"/>
              </w:rPr>
              <w:t>有及时止损的工作理念；掌握高效完成计划的“WOOP模型”</w:t>
            </w:r>
          </w:p>
        </w:tc>
      </w:tr>
      <w:tr w14:paraId="45710102">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Pr>
          <w:p w14:paraId="2A5541BB">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第四章：</w:t>
            </w:r>
          </w:p>
          <w:p w14:paraId="3FB42246">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快速变化资源灵活---迭代与创新</w:t>
            </w:r>
          </w:p>
        </w:tc>
        <w:tc>
          <w:tcPr>
            <w:tcW w:w="1037" w:type="dxa"/>
          </w:tcPr>
          <w:p w14:paraId="26C176B1">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66F33033">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7C93A92C">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Pr>
          <w:p w14:paraId="6DBCEEB2">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1.从“官僚制”到“快速变化资源灵活”</w:t>
            </w:r>
          </w:p>
          <w:p w14:paraId="2951EEC2">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2.</w:t>
            </w:r>
            <w:r>
              <w:rPr>
                <w:rFonts w:hint="eastAsia"/>
                <w:sz w:val="20"/>
                <w:szCs w:val="20"/>
              </w:rPr>
              <w:t xml:space="preserve"> </w:t>
            </w:r>
            <w:r>
              <w:rPr>
                <w:rFonts w:hint="eastAsia" w:ascii="微软雅黑" w:hAnsi="微软雅黑" w:eastAsia="微软雅黑" w:cs="Times New Roman"/>
                <w:b/>
                <w:sz w:val="20"/>
                <w:szCs w:val="20"/>
              </w:rPr>
              <w:t>快速迭代，小步快跑</w:t>
            </w:r>
          </w:p>
          <w:p w14:paraId="77BE5166">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3</w:t>
            </w:r>
            <w:r>
              <w:rPr>
                <w:rFonts w:hint="eastAsia" w:ascii="微软雅黑" w:hAnsi="微软雅黑" w:eastAsia="微软雅黑" w:cs="Times New Roman"/>
                <w:b/>
                <w:sz w:val="20"/>
                <w:szCs w:val="20"/>
              </w:rPr>
              <w:t>.案例：H</w:t>
            </w:r>
            <w:r>
              <w:rPr>
                <w:rFonts w:ascii="微软雅黑" w:hAnsi="微软雅黑" w:eastAsia="微软雅黑" w:cs="Times New Roman"/>
                <w:b/>
                <w:sz w:val="20"/>
                <w:szCs w:val="20"/>
              </w:rPr>
              <w:t>E</w:t>
            </w:r>
            <w:r>
              <w:rPr>
                <w:rFonts w:hint="eastAsia" w:ascii="微软雅黑" w:hAnsi="微软雅黑" w:eastAsia="微软雅黑" w:cs="Times New Roman"/>
                <w:b/>
                <w:sz w:val="20"/>
                <w:szCs w:val="20"/>
              </w:rPr>
              <w:t>集团领导转型</w:t>
            </w:r>
          </w:p>
          <w:p w14:paraId="042E980C">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4.</w:t>
            </w:r>
            <w:r>
              <w:rPr>
                <w:rFonts w:hint="eastAsia"/>
                <w:sz w:val="20"/>
                <w:szCs w:val="20"/>
              </w:rPr>
              <w:t xml:space="preserve"> </w:t>
            </w:r>
            <w:r>
              <w:rPr>
                <w:rFonts w:hint="eastAsia" w:ascii="微软雅黑" w:hAnsi="微软雅黑" w:eastAsia="微软雅黑" w:cs="Times New Roman"/>
                <w:b/>
                <w:sz w:val="20"/>
                <w:szCs w:val="20"/>
              </w:rPr>
              <w:t>测量你的创新变革的能力</w:t>
            </w:r>
          </w:p>
          <w:p w14:paraId="22014394">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5.</w:t>
            </w:r>
            <w:r>
              <w:rPr>
                <w:rFonts w:ascii="微软雅黑" w:hAnsi="微软雅黑" w:eastAsia="微软雅黑" w:cs="Times New Roman"/>
                <w:b/>
                <w:sz w:val="20"/>
                <w:szCs w:val="20"/>
              </w:rPr>
              <w:t xml:space="preserve"> </w:t>
            </w:r>
            <w:r>
              <w:rPr>
                <w:rFonts w:hint="eastAsia" w:ascii="微软雅黑" w:hAnsi="微软雅黑" w:eastAsia="微软雅黑" w:cs="Times New Roman"/>
                <w:b/>
                <w:sz w:val="20"/>
                <w:szCs w:val="20"/>
              </w:rPr>
              <w:t>视频：上海的哥的创新变革思维</w:t>
            </w:r>
          </w:p>
          <w:p w14:paraId="3C0FFC40">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6.</w:t>
            </w:r>
            <w:r>
              <w:rPr>
                <w:rFonts w:ascii="微软雅黑" w:hAnsi="微软雅黑" w:eastAsia="微软雅黑" w:cs="Times New Roman"/>
                <w:b/>
                <w:sz w:val="20"/>
                <w:szCs w:val="20"/>
              </w:rPr>
              <w:t xml:space="preserve"> </w:t>
            </w:r>
            <w:r>
              <w:rPr>
                <w:rFonts w:hint="eastAsia" w:ascii="微软雅黑" w:hAnsi="微软雅黑" w:eastAsia="微软雅黑" w:cs="Times New Roman"/>
                <w:b/>
                <w:sz w:val="20"/>
                <w:szCs w:val="20"/>
              </w:rPr>
              <w:t>创新变革的思考模式：</w:t>
            </w:r>
          </w:p>
          <w:p w14:paraId="094E0F52">
            <w:pPr>
              <w:pStyle w:val="8"/>
              <w:numPr>
                <w:ilvl w:val="0"/>
                <w:numId w:val="9"/>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利于创新变革</w:t>
            </w:r>
          </w:p>
          <w:p w14:paraId="1E4C3BE6">
            <w:pPr>
              <w:pStyle w:val="8"/>
              <w:numPr>
                <w:ilvl w:val="0"/>
                <w:numId w:val="9"/>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思维缜密</w:t>
            </w:r>
          </w:p>
          <w:p w14:paraId="11160831">
            <w:pPr>
              <w:pStyle w:val="8"/>
              <w:numPr>
                <w:ilvl w:val="0"/>
                <w:numId w:val="9"/>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有益问题分析解决</w:t>
            </w:r>
          </w:p>
          <w:p w14:paraId="47CE03B5">
            <w:pPr>
              <w:spacing w:line="360" w:lineRule="auto"/>
              <w:rPr>
                <w:rFonts w:hint="eastAsia" w:ascii="微软雅黑" w:hAnsi="微软雅黑" w:eastAsia="微软雅黑" w:cs="Times New Roman"/>
                <w:b/>
                <w:sz w:val="22"/>
              </w:rPr>
            </w:pPr>
            <w:r>
              <w:rPr>
                <w:rFonts w:hint="eastAsia" w:ascii="微软雅黑" w:hAnsi="微软雅黑" w:eastAsia="微软雅黑" w:cs="Times New Roman"/>
                <w:b/>
                <w:color w:val="FF0000"/>
                <w:sz w:val="20"/>
                <w:szCs w:val="20"/>
              </w:rPr>
              <w:t>成果输出：</w:t>
            </w:r>
            <w:r>
              <w:rPr>
                <w:rFonts w:hint="eastAsia" w:ascii="微软雅黑" w:hAnsi="微软雅黑" w:eastAsia="微软雅黑" w:cs="Times New Roman"/>
                <w:b/>
                <w:sz w:val="20"/>
                <w:szCs w:val="20"/>
                <w:u w:val="single"/>
              </w:rPr>
              <w:t>不要忌惮失败，尽管曾经获得过巨大成功；尽力创造一个有创造力的环境，人人有创新的意识；掌握创新变革的思考工具；对决策带来的风险，要做好充分准备</w:t>
            </w:r>
          </w:p>
        </w:tc>
      </w:tr>
      <w:tr w14:paraId="57BC0F97">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Pr>
          <w:p w14:paraId="0CF720F9">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第五章：</w:t>
            </w:r>
          </w:p>
          <w:p w14:paraId="6A3B28F6">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赋能式领导力---从权威到教练</w:t>
            </w:r>
          </w:p>
        </w:tc>
        <w:tc>
          <w:tcPr>
            <w:tcW w:w="1037" w:type="dxa"/>
          </w:tcPr>
          <w:p w14:paraId="6364CEB9">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2D5B885E">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7A9F51A3">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Pr>
          <w:p w14:paraId="0DF34829">
            <w:pPr>
              <w:spacing w:line="360" w:lineRule="auto"/>
              <w:rPr>
                <w:rFonts w:hint="eastAsia" w:ascii="微软雅黑" w:hAnsi="微软雅黑" w:eastAsia="微软雅黑" w:cs="Times New Roman"/>
                <w:b/>
                <w:sz w:val="22"/>
              </w:rPr>
            </w:pPr>
            <w:r>
              <w:rPr>
                <w:rFonts w:hint="eastAsia" w:ascii="微软雅黑" w:hAnsi="微软雅黑" w:eastAsia="微软雅黑" w:cs="Times New Roman"/>
                <w:b/>
                <w:sz w:val="22"/>
              </w:rPr>
              <w:t>1.从“详细指令”到“领导者确定方向并为行动赋能”</w:t>
            </w:r>
          </w:p>
          <w:p w14:paraId="76CE5988">
            <w:pPr>
              <w:spacing w:line="360" w:lineRule="auto"/>
              <w:rPr>
                <w:rFonts w:hint="eastAsia" w:ascii="微软雅黑" w:hAnsi="微软雅黑" w:eastAsia="微软雅黑" w:cs="Times New Roman"/>
                <w:b/>
                <w:sz w:val="22"/>
              </w:rPr>
            </w:pPr>
            <w:r>
              <w:rPr>
                <w:rFonts w:ascii="微软雅黑" w:hAnsi="微软雅黑" w:eastAsia="微软雅黑" w:cs="Times New Roman"/>
                <w:b/>
                <w:sz w:val="22"/>
              </w:rPr>
              <w:t>2</w:t>
            </w:r>
            <w:r>
              <w:rPr>
                <w:rFonts w:hint="eastAsia" w:ascii="微软雅黑" w:hAnsi="微软雅黑" w:eastAsia="微软雅黑" w:cs="Times New Roman"/>
                <w:b/>
                <w:sz w:val="22"/>
              </w:rPr>
              <w:t>.了解情境领导理论</w:t>
            </w:r>
          </w:p>
          <w:p w14:paraId="654DB868">
            <w:pPr>
              <w:pStyle w:val="8"/>
              <w:numPr>
                <w:ilvl w:val="0"/>
                <w:numId w:val="10"/>
              </w:numPr>
              <w:spacing w:line="360" w:lineRule="auto"/>
              <w:ind w:firstLineChars="0"/>
              <w:rPr>
                <w:rFonts w:hint="eastAsia" w:ascii="微软雅黑" w:hAnsi="微软雅黑" w:eastAsia="微软雅黑" w:cs="Times New Roman"/>
                <w:bCs/>
                <w:sz w:val="22"/>
              </w:rPr>
            </w:pPr>
            <w:r>
              <w:rPr>
                <w:rFonts w:hint="eastAsia" w:ascii="微软雅黑" w:hAnsi="微软雅黑" w:eastAsia="微软雅黑" w:cs="Times New Roman"/>
                <w:bCs/>
                <w:sz w:val="22"/>
              </w:rPr>
              <w:t>下属的四种发展层级</w:t>
            </w:r>
          </w:p>
          <w:p w14:paraId="71A84D50">
            <w:pPr>
              <w:pStyle w:val="8"/>
              <w:numPr>
                <w:ilvl w:val="0"/>
                <w:numId w:val="10"/>
              </w:numPr>
              <w:spacing w:line="360" w:lineRule="auto"/>
              <w:ind w:firstLineChars="0"/>
              <w:rPr>
                <w:rFonts w:hint="eastAsia" w:ascii="微软雅黑" w:hAnsi="微软雅黑" w:eastAsia="微软雅黑" w:cs="Times New Roman"/>
                <w:bCs/>
                <w:sz w:val="22"/>
              </w:rPr>
            </w:pPr>
            <w:r>
              <w:rPr>
                <w:rFonts w:hint="eastAsia" w:ascii="微软雅黑" w:hAnsi="微软雅黑" w:eastAsia="微软雅黑" w:cs="Times New Roman"/>
                <w:bCs/>
                <w:sz w:val="22"/>
              </w:rPr>
              <w:t>领导者的四种领导风格</w:t>
            </w:r>
          </w:p>
          <w:p w14:paraId="60AAE69A">
            <w:pPr>
              <w:spacing w:line="360" w:lineRule="auto"/>
              <w:rPr>
                <w:rFonts w:hint="eastAsia" w:ascii="微软雅黑" w:hAnsi="微软雅黑" w:eastAsia="微软雅黑" w:cs="Times New Roman"/>
                <w:b/>
                <w:sz w:val="22"/>
              </w:rPr>
            </w:pPr>
            <w:r>
              <w:rPr>
                <w:rFonts w:ascii="微软雅黑" w:hAnsi="微软雅黑" w:eastAsia="微软雅黑" w:cs="Times New Roman"/>
                <w:b/>
                <w:sz w:val="22"/>
              </w:rPr>
              <w:t>3</w:t>
            </w:r>
            <w:r>
              <w:rPr>
                <w:rFonts w:hint="eastAsia" w:ascii="微软雅黑" w:hAnsi="微软雅黑" w:eastAsia="微软雅黑" w:cs="Times New Roman"/>
                <w:b/>
                <w:sz w:val="22"/>
              </w:rPr>
              <w:t>.衡量下属的两把标尺</w:t>
            </w:r>
          </w:p>
          <w:p w14:paraId="175D9B8F">
            <w:pPr>
              <w:pStyle w:val="8"/>
              <w:numPr>
                <w:ilvl w:val="0"/>
                <w:numId w:val="11"/>
              </w:numPr>
              <w:spacing w:line="360" w:lineRule="auto"/>
              <w:ind w:firstLineChars="0"/>
              <w:rPr>
                <w:rFonts w:hint="eastAsia" w:ascii="微软雅黑" w:hAnsi="微软雅黑" w:eastAsia="微软雅黑" w:cs="Times New Roman"/>
                <w:bCs/>
                <w:sz w:val="22"/>
              </w:rPr>
            </w:pPr>
            <w:r>
              <w:rPr>
                <w:rFonts w:hint="eastAsia" w:ascii="微软雅黑" w:hAnsi="微软雅黑" w:eastAsia="微软雅黑" w:cs="Times New Roman"/>
                <w:bCs/>
                <w:sz w:val="22"/>
              </w:rPr>
              <w:t>能力：完成任务的知识与技能</w:t>
            </w:r>
          </w:p>
          <w:p w14:paraId="7D2568DB">
            <w:pPr>
              <w:pStyle w:val="8"/>
              <w:numPr>
                <w:ilvl w:val="0"/>
                <w:numId w:val="11"/>
              </w:numPr>
              <w:spacing w:line="360" w:lineRule="auto"/>
              <w:ind w:firstLineChars="0"/>
              <w:rPr>
                <w:rFonts w:hint="eastAsia" w:ascii="微软雅黑" w:hAnsi="微软雅黑" w:eastAsia="微软雅黑" w:cs="Times New Roman"/>
                <w:bCs/>
                <w:sz w:val="22"/>
              </w:rPr>
            </w:pPr>
            <w:r>
              <w:rPr>
                <w:rFonts w:hint="eastAsia" w:ascii="微软雅黑" w:hAnsi="微软雅黑" w:eastAsia="微软雅黑" w:cs="Times New Roman"/>
                <w:bCs/>
                <w:sz w:val="22"/>
              </w:rPr>
              <w:t>意愿：部属意愿、动机与信心</w:t>
            </w:r>
          </w:p>
          <w:p w14:paraId="0986C9C0">
            <w:pPr>
              <w:pStyle w:val="8"/>
              <w:numPr>
                <w:ilvl w:val="0"/>
                <w:numId w:val="11"/>
              </w:numPr>
              <w:spacing w:line="360" w:lineRule="auto"/>
              <w:ind w:firstLineChars="0"/>
              <w:rPr>
                <w:rFonts w:hint="eastAsia" w:ascii="微软雅黑" w:hAnsi="微软雅黑" w:eastAsia="微软雅黑" w:cs="Times New Roman"/>
                <w:b/>
                <w:sz w:val="22"/>
              </w:rPr>
            </w:pPr>
            <w:r>
              <w:rPr>
                <w:rFonts w:hint="eastAsia" w:ascii="微软雅黑" w:hAnsi="微软雅黑" w:eastAsia="微软雅黑" w:cs="Times New Roman"/>
                <w:bCs/>
                <w:sz w:val="22"/>
              </w:rPr>
              <w:t>案例：这些员工的问题在哪里？应该如何使用领导风格？</w:t>
            </w:r>
          </w:p>
          <w:p w14:paraId="4D0BC61C">
            <w:pPr>
              <w:spacing w:line="360" w:lineRule="auto"/>
              <w:rPr>
                <w:rFonts w:hint="eastAsia" w:ascii="微软雅黑" w:hAnsi="微软雅黑" w:eastAsia="微软雅黑" w:cs="Times New Roman"/>
                <w:b/>
                <w:sz w:val="22"/>
              </w:rPr>
            </w:pPr>
            <w:r>
              <w:rPr>
                <w:rFonts w:hint="eastAsia" w:ascii="微软雅黑" w:hAnsi="微软雅黑" w:eastAsia="微软雅黑" w:cs="Times New Roman"/>
                <w:b/>
                <w:color w:val="FF0000"/>
                <w:sz w:val="22"/>
              </w:rPr>
              <w:t>成果输出：</w:t>
            </w:r>
            <w:r>
              <w:rPr>
                <w:rFonts w:hint="eastAsia" w:ascii="微软雅黑" w:hAnsi="微软雅黑" w:eastAsia="微软雅黑" w:cs="Times New Roman"/>
                <w:b/>
                <w:sz w:val="22"/>
                <w:u w:val="single"/>
              </w:rPr>
              <w:t>尽力“赋能”员工，授权与培育平衡；诊断员工的意愿与能力；掌握处理不同员工的方法</w:t>
            </w:r>
          </w:p>
        </w:tc>
      </w:tr>
      <w:tr w14:paraId="4AB63716">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Pr>
          <w:p w14:paraId="10F28927">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第六章：</w:t>
            </w:r>
          </w:p>
          <w:p w14:paraId="7FBE1EAC">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建立协同性责任---承诺与共担</w:t>
            </w:r>
          </w:p>
        </w:tc>
        <w:tc>
          <w:tcPr>
            <w:tcW w:w="1037" w:type="dxa"/>
          </w:tcPr>
          <w:p w14:paraId="28B3DDB0">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课堂讲授</w:t>
            </w:r>
          </w:p>
          <w:p w14:paraId="174C5F1D">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案例分析</w:t>
            </w:r>
          </w:p>
          <w:p w14:paraId="3BABBBBF">
            <w:pPr>
              <w:adjustRightInd w:val="0"/>
              <w:snapToGrid w:val="0"/>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sz w:val="20"/>
                <w:szCs w:val="20"/>
              </w:rPr>
              <w:t>分组讨论</w:t>
            </w:r>
          </w:p>
        </w:tc>
        <w:tc>
          <w:tcPr>
            <w:tcW w:w="5489" w:type="dxa"/>
          </w:tcPr>
          <w:p w14:paraId="492E2B78">
            <w:pPr>
              <w:spacing w:line="360"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1.从“部门墙”到“团队间建立协同性责任”</w:t>
            </w:r>
          </w:p>
          <w:p w14:paraId="4825AE76">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2.</w:t>
            </w:r>
            <w:r>
              <w:rPr>
                <w:rFonts w:hint="eastAsia"/>
                <w:sz w:val="20"/>
                <w:szCs w:val="20"/>
              </w:rPr>
              <w:t xml:space="preserve"> </w:t>
            </w:r>
            <w:r>
              <w:rPr>
                <w:rFonts w:hint="eastAsia" w:ascii="微软雅黑" w:hAnsi="微软雅黑" w:eastAsia="微软雅黑" w:cs="Times New Roman"/>
                <w:b/>
                <w:sz w:val="20"/>
                <w:szCs w:val="20"/>
              </w:rPr>
              <w:t>组织的健康胜于一切</w:t>
            </w:r>
          </w:p>
          <w:p w14:paraId="0095CD8A">
            <w:pPr>
              <w:spacing w:line="360" w:lineRule="auto"/>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1</w:t>
            </w:r>
            <w:r>
              <w:rPr>
                <w:rFonts w:hint="eastAsia" w:ascii="微软雅黑" w:hAnsi="微软雅黑" w:eastAsia="微软雅黑" w:cs="Times New Roman"/>
                <w:bCs/>
                <w:sz w:val="20"/>
                <w:szCs w:val="20"/>
              </w:rPr>
              <w:t>）组织聪明</w:t>
            </w:r>
          </w:p>
          <w:p w14:paraId="58FB3C48">
            <w:pPr>
              <w:pStyle w:val="8"/>
              <w:numPr>
                <w:ilvl w:val="0"/>
                <w:numId w:val="12"/>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战略</w:t>
            </w:r>
          </w:p>
          <w:p w14:paraId="394486B3">
            <w:pPr>
              <w:pStyle w:val="8"/>
              <w:numPr>
                <w:ilvl w:val="0"/>
                <w:numId w:val="12"/>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营销</w:t>
            </w:r>
          </w:p>
          <w:p w14:paraId="14F05420">
            <w:pPr>
              <w:pStyle w:val="8"/>
              <w:numPr>
                <w:ilvl w:val="0"/>
                <w:numId w:val="12"/>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财务</w:t>
            </w:r>
          </w:p>
          <w:p w14:paraId="62D813F5">
            <w:pPr>
              <w:pStyle w:val="8"/>
              <w:numPr>
                <w:ilvl w:val="0"/>
                <w:numId w:val="12"/>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制造</w:t>
            </w:r>
          </w:p>
          <w:p w14:paraId="7326E18B">
            <w:pPr>
              <w:pStyle w:val="8"/>
              <w:numPr>
                <w:ilvl w:val="0"/>
                <w:numId w:val="12"/>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技术</w:t>
            </w:r>
          </w:p>
          <w:p w14:paraId="7EC64284">
            <w:pPr>
              <w:spacing w:line="360" w:lineRule="auto"/>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2</w:t>
            </w:r>
            <w:r>
              <w:rPr>
                <w:rFonts w:hint="eastAsia" w:ascii="微软雅黑" w:hAnsi="微软雅黑" w:eastAsia="微软雅黑" w:cs="Times New Roman"/>
                <w:bCs/>
                <w:sz w:val="20"/>
                <w:szCs w:val="20"/>
              </w:rPr>
              <w:t>）</w:t>
            </w:r>
            <w:r>
              <w:rPr>
                <w:rFonts w:ascii="微软雅黑" w:hAnsi="微软雅黑" w:eastAsia="微软雅黑" w:cs="Times New Roman"/>
                <w:bCs/>
                <w:sz w:val="20"/>
                <w:szCs w:val="20"/>
              </w:rPr>
              <w:t xml:space="preserve"> </w:t>
            </w:r>
            <w:r>
              <w:rPr>
                <w:rFonts w:hint="eastAsia" w:ascii="微软雅黑" w:hAnsi="微软雅黑" w:eastAsia="微软雅黑" w:cs="Times New Roman"/>
                <w:bCs/>
                <w:sz w:val="20"/>
                <w:szCs w:val="20"/>
              </w:rPr>
              <w:t>组织健康</w:t>
            </w:r>
          </w:p>
          <w:p w14:paraId="1E8AD503">
            <w:pPr>
              <w:pStyle w:val="8"/>
              <w:numPr>
                <w:ilvl w:val="0"/>
                <w:numId w:val="13"/>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最少的办公室政治</w:t>
            </w:r>
          </w:p>
          <w:p w14:paraId="4F1A88B0">
            <w:pPr>
              <w:pStyle w:val="8"/>
              <w:numPr>
                <w:ilvl w:val="0"/>
                <w:numId w:val="13"/>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最少的混乱</w:t>
            </w:r>
          </w:p>
          <w:p w14:paraId="47FAB568">
            <w:pPr>
              <w:pStyle w:val="8"/>
              <w:numPr>
                <w:ilvl w:val="0"/>
                <w:numId w:val="13"/>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高涨的士气</w:t>
            </w:r>
          </w:p>
          <w:p w14:paraId="780E3F14">
            <w:pPr>
              <w:pStyle w:val="8"/>
              <w:numPr>
                <w:ilvl w:val="0"/>
                <w:numId w:val="13"/>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高效率</w:t>
            </w:r>
          </w:p>
          <w:p w14:paraId="2E285516">
            <w:pPr>
              <w:pStyle w:val="8"/>
              <w:numPr>
                <w:ilvl w:val="0"/>
                <w:numId w:val="13"/>
              </w:numPr>
              <w:spacing w:line="360" w:lineRule="auto"/>
              <w:ind w:firstLineChars="0"/>
              <w:rPr>
                <w:rFonts w:hint="eastAsia" w:ascii="微软雅黑" w:hAnsi="微软雅黑" w:eastAsia="微软雅黑" w:cs="Times New Roman"/>
                <w:bCs/>
                <w:sz w:val="20"/>
                <w:szCs w:val="20"/>
              </w:rPr>
            </w:pPr>
            <w:r>
              <w:rPr>
                <w:rFonts w:hint="eastAsia" w:ascii="微软雅黑" w:hAnsi="微软雅黑" w:eastAsia="微软雅黑" w:cs="Times New Roman"/>
                <w:bCs/>
                <w:sz w:val="20"/>
                <w:szCs w:val="20"/>
              </w:rPr>
              <w:t>优秀员工的低流失率</w:t>
            </w:r>
          </w:p>
          <w:p w14:paraId="50B51563">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3</w:t>
            </w:r>
            <w:r>
              <w:rPr>
                <w:rFonts w:hint="eastAsia" w:ascii="微软雅黑" w:hAnsi="微软雅黑" w:eastAsia="微软雅黑" w:cs="Times New Roman"/>
                <w:b/>
                <w:sz w:val="20"/>
                <w:szCs w:val="20"/>
              </w:rPr>
              <w:t>.明确承诺</w:t>
            </w:r>
          </w:p>
          <w:p w14:paraId="27FBEBAB">
            <w:pPr>
              <w:spacing w:line="360" w:lineRule="auto"/>
              <w:rPr>
                <w:rFonts w:hint="eastAsia" w:ascii="微软雅黑" w:hAnsi="微软雅黑" w:eastAsia="微软雅黑" w:cs="Times New Roman"/>
                <w:b/>
                <w:sz w:val="20"/>
                <w:szCs w:val="20"/>
              </w:rPr>
            </w:pPr>
            <w:r>
              <w:rPr>
                <w:rFonts w:ascii="微软雅黑" w:hAnsi="微软雅黑" w:eastAsia="微软雅黑" w:cs="Times New Roman"/>
                <w:b/>
                <w:sz w:val="20"/>
                <w:szCs w:val="20"/>
              </w:rPr>
              <w:t>4</w:t>
            </w:r>
            <w:r>
              <w:rPr>
                <w:rFonts w:hint="eastAsia" w:ascii="微软雅黑" w:hAnsi="微软雅黑" w:eastAsia="微软雅黑" w:cs="Times New Roman"/>
                <w:b/>
                <w:sz w:val="20"/>
                <w:szCs w:val="20"/>
              </w:rPr>
              <w:t>.</w:t>
            </w:r>
            <w:r>
              <w:rPr>
                <w:rFonts w:hint="eastAsia"/>
                <w:sz w:val="20"/>
                <w:szCs w:val="20"/>
              </w:rPr>
              <w:t xml:space="preserve"> </w:t>
            </w:r>
            <w:r>
              <w:rPr>
                <w:rFonts w:hint="eastAsia" w:ascii="微软雅黑" w:hAnsi="微软雅黑" w:eastAsia="微软雅黑" w:cs="Times New Roman"/>
                <w:b/>
                <w:sz w:val="20"/>
                <w:szCs w:val="20"/>
              </w:rPr>
              <w:t>冲突管理策略---TK模型</w:t>
            </w:r>
          </w:p>
          <w:p w14:paraId="203E8C5C">
            <w:pPr>
              <w:spacing w:line="276" w:lineRule="auto"/>
              <w:rPr>
                <w:rFonts w:hint="eastAsia" w:ascii="微软雅黑" w:hAnsi="微软雅黑" w:eastAsia="微软雅黑" w:cs="Times New Roman"/>
                <w:sz w:val="20"/>
                <w:szCs w:val="20"/>
              </w:rPr>
            </w:pPr>
            <w:r>
              <w:rPr>
                <w:rFonts w:hint="eastAsia" w:ascii="微软雅黑" w:hAnsi="微软雅黑" w:eastAsia="微软雅黑" w:cs="Times New Roman"/>
                <w:b/>
                <w:sz w:val="22"/>
              </w:rPr>
              <w:t>5.</w:t>
            </w:r>
            <w:r>
              <w:rPr>
                <w:rFonts w:hint="eastAsia" w:ascii="微软雅黑" w:hAnsi="微软雅黑" w:eastAsia="微软雅黑" w:cs="Times New Roman"/>
                <w:bCs/>
                <w:sz w:val="20"/>
                <w:szCs w:val="20"/>
              </w:rPr>
              <w:t xml:space="preserve"> </w:t>
            </w:r>
            <w:r>
              <w:rPr>
                <w:rFonts w:hint="eastAsia" w:ascii="微软雅黑" w:hAnsi="微软雅黑" w:eastAsia="微软雅黑" w:cs="Times New Roman"/>
                <w:b/>
                <w:bCs/>
                <w:sz w:val="20"/>
                <w:szCs w:val="20"/>
              </w:rPr>
              <w:t>冲突管理的步骤</w:t>
            </w:r>
          </w:p>
          <w:p w14:paraId="5D64B890">
            <w:pPr>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6.</w:t>
            </w:r>
            <w:r>
              <w:rPr>
                <w:rFonts w:ascii="微软雅黑" w:hAnsi="微软雅黑" w:eastAsia="微软雅黑" w:cs="Times New Roman"/>
                <w:b/>
                <w:sz w:val="20"/>
                <w:szCs w:val="20"/>
              </w:rPr>
              <w:t xml:space="preserve"> </w:t>
            </w:r>
            <w:r>
              <w:rPr>
                <w:rFonts w:hint="eastAsia" w:ascii="微软雅黑" w:hAnsi="微软雅黑" w:eastAsia="微软雅黑" w:cs="Times New Roman"/>
                <w:b/>
                <w:sz w:val="20"/>
                <w:szCs w:val="20"/>
              </w:rPr>
              <w:t>教学视频：他是如何运用冲突管理步骤的？</w:t>
            </w:r>
          </w:p>
          <w:p w14:paraId="464E739D">
            <w:pPr>
              <w:spacing w:line="276" w:lineRule="auto"/>
              <w:rPr>
                <w:rFonts w:hint="eastAsia" w:ascii="微软雅黑" w:hAnsi="微软雅黑" w:eastAsia="微软雅黑" w:cs="Times New Roman"/>
                <w:b/>
                <w:sz w:val="20"/>
                <w:szCs w:val="20"/>
                <w:u w:val="single"/>
              </w:rPr>
            </w:pPr>
            <w:r>
              <w:rPr>
                <w:rFonts w:hint="eastAsia" w:ascii="微软雅黑" w:hAnsi="微软雅黑" w:eastAsia="微软雅黑" w:cs="Times New Roman"/>
                <w:b/>
                <w:color w:val="FF0000"/>
                <w:sz w:val="20"/>
                <w:szCs w:val="20"/>
              </w:rPr>
              <w:t>成果输出：</w:t>
            </w:r>
            <w:r>
              <w:rPr>
                <w:rFonts w:hint="eastAsia" w:ascii="微软雅黑" w:hAnsi="微软雅黑" w:eastAsia="微软雅黑" w:cs="Times New Roman"/>
                <w:b/>
                <w:sz w:val="20"/>
                <w:szCs w:val="20"/>
                <w:u w:val="single"/>
              </w:rPr>
              <w:t>建立组织的健康胜于一切的意识；掌握冲突的T</w:t>
            </w:r>
            <w:r>
              <w:rPr>
                <w:rFonts w:ascii="微软雅黑" w:hAnsi="微软雅黑" w:eastAsia="微软雅黑" w:cs="Times New Roman"/>
                <w:b/>
                <w:sz w:val="20"/>
                <w:szCs w:val="20"/>
                <w:u w:val="single"/>
              </w:rPr>
              <w:t>K</w:t>
            </w:r>
            <w:r>
              <w:rPr>
                <w:rFonts w:hint="eastAsia" w:ascii="微软雅黑" w:hAnsi="微软雅黑" w:eastAsia="微软雅黑" w:cs="Times New Roman"/>
                <w:b/>
                <w:sz w:val="20"/>
                <w:szCs w:val="20"/>
                <w:u w:val="single"/>
              </w:rPr>
              <w:t>模型，运用工作案例分享；</w:t>
            </w:r>
          </w:p>
        </w:tc>
      </w:tr>
      <w:tr w14:paraId="2FFE4BF4">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jc w:val="center"/>
        </w:trPr>
        <w:tc>
          <w:tcPr>
            <w:tcW w:w="2070" w:type="dxa"/>
            <w:tcBorders>
              <w:bottom w:val="single" w:color="auto" w:sz="6" w:space="0"/>
            </w:tcBorders>
          </w:tcPr>
          <w:p w14:paraId="72E53155">
            <w:pPr>
              <w:adjustRightInd w:val="0"/>
              <w:snapToGrid w:val="0"/>
              <w:spacing w:line="276" w:lineRule="auto"/>
              <w:rPr>
                <w:rFonts w:hint="eastAsia" w:ascii="微软雅黑" w:hAnsi="微软雅黑" w:eastAsia="微软雅黑" w:cs="Times New Roman"/>
                <w:b/>
                <w:sz w:val="20"/>
                <w:szCs w:val="20"/>
              </w:rPr>
            </w:pPr>
            <w:r>
              <w:rPr>
                <w:rFonts w:hint="eastAsia" w:ascii="微软雅黑" w:hAnsi="微软雅黑" w:eastAsia="微软雅黑" w:cs="Times New Roman"/>
                <w:b/>
                <w:sz w:val="20"/>
                <w:szCs w:val="20"/>
              </w:rPr>
              <w:t>课程总结与行动计划</w:t>
            </w:r>
          </w:p>
        </w:tc>
        <w:tc>
          <w:tcPr>
            <w:tcW w:w="1037" w:type="dxa"/>
            <w:tcBorders>
              <w:bottom w:val="single" w:color="auto" w:sz="6" w:space="0"/>
            </w:tcBorders>
          </w:tcPr>
          <w:p w14:paraId="5DA275A0">
            <w:pPr>
              <w:adjustRightInd w:val="0"/>
              <w:snapToGrid w:val="0"/>
              <w:spacing w:line="276" w:lineRule="auto"/>
              <w:rPr>
                <w:rFonts w:hint="eastAsia" w:ascii="微软雅黑" w:hAnsi="微软雅黑" w:eastAsia="微软雅黑" w:cs="Times New Roman"/>
                <w:sz w:val="20"/>
                <w:szCs w:val="20"/>
              </w:rPr>
            </w:pPr>
          </w:p>
        </w:tc>
        <w:tc>
          <w:tcPr>
            <w:tcW w:w="5489" w:type="dxa"/>
            <w:tcBorders>
              <w:bottom w:val="single" w:color="auto" w:sz="6" w:space="0"/>
            </w:tcBorders>
          </w:tcPr>
          <w:p w14:paraId="3C875CC2">
            <w:pPr>
              <w:spacing w:line="360" w:lineRule="auto"/>
              <w:rPr>
                <w:rFonts w:hint="eastAsia" w:ascii="微软雅黑" w:hAnsi="微软雅黑" w:eastAsia="微软雅黑" w:cs="Times New Roman"/>
                <w:b/>
                <w:sz w:val="20"/>
                <w:szCs w:val="20"/>
              </w:rPr>
            </w:pPr>
          </w:p>
        </w:tc>
      </w:tr>
    </w:tbl>
    <w:p w14:paraId="35197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b/>
          <w:bCs/>
          <w:color w:val="000000" w:themeColor="text1"/>
          <w:kern w:val="0"/>
          <w:sz w:val="21"/>
          <w:szCs w:val="21"/>
          <w:lang w:val="en-US" w:eastAsia="zh-CN" w:bidi="ar-SA"/>
          <w14:textFill>
            <w14:solidFill>
              <w14:schemeClr w14:val="tx1"/>
            </w14:solidFill>
          </w14:textFill>
        </w:rPr>
      </w:pPr>
    </w:p>
    <w:p w14:paraId="52E8824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bCs/>
          <w:color w:val="000000" w:themeColor="text1"/>
          <w:kern w:val="0"/>
          <w:sz w:val="30"/>
          <w:szCs w:val="30"/>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30"/>
          <w:szCs w:val="30"/>
          <w:lang w:val="en-US" w:eastAsia="zh-CN" w:bidi="ar-SA"/>
          <w14:textFill>
            <w14:solidFill>
              <w14:schemeClr w14:val="tx1"/>
            </w14:solidFill>
          </w14:textFill>
        </w:rPr>
        <w:t>授课讲师介绍：</w:t>
      </w:r>
    </w:p>
    <w:p w14:paraId="3D7C266C">
      <w:pPr>
        <w:rPr>
          <w:rFonts w:hint="eastAsia" w:ascii="微软雅黑" w:hAnsi="微软雅黑" w:eastAsia="微软雅黑" w:cs="Arial"/>
          <w:b/>
          <w:bCs/>
          <w:color w:val="FF0000"/>
          <w:sz w:val="28"/>
          <w:szCs w:val="36"/>
        </w:rPr>
      </w:pPr>
      <w:r>
        <w:rPr>
          <w:rFonts w:hint="eastAsia" w:ascii="微软雅黑" w:hAnsi="微软雅黑" w:eastAsia="微软雅黑" w:cs="Arial"/>
          <w:b/>
          <w:bCs/>
          <w:color w:val="FF0000"/>
          <w:sz w:val="32"/>
          <w:szCs w:val="32"/>
        </w:rPr>
        <w:t>韦老师</w:t>
      </w:r>
      <w:bookmarkStart w:id="0" w:name="OLE_LINK1"/>
      <w:bookmarkStart w:id="1" w:name="OLE_LINK6"/>
      <w:r>
        <w:rPr>
          <w:rFonts w:hint="eastAsia" w:ascii="微软雅黑" w:hAnsi="微软雅黑" w:eastAsia="微软雅黑" w:cs="Arial"/>
          <w:b/>
          <w:bCs/>
          <w:color w:val="FF0000"/>
          <w:sz w:val="32"/>
          <w:szCs w:val="32"/>
          <w:lang w:val="en-US" w:eastAsia="zh-CN"/>
        </w:rPr>
        <w:t>---</w:t>
      </w:r>
      <w:r>
        <w:rPr>
          <w:rFonts w:hint="eastAsia" w:ascii="微软雅黑" w:hAnsi="微软雅黑" w:eastAsia="微软雅黑" w:cs="Arial"/>
          <w:b/>
          <w:bCs/>
          <w:color w:val="FF0000"/>
          <w:sz w:val="32"/>
          <w:szCs w:val="32"/>
        </w:rPr>
        <w:t>顾问式</w:t>
      </w:r>
      <w:r>
        <w:rPr>
          <w:rFonts w:hint="eastAsia" w:ascii="微软雅黑" w:hAnsi="微软雅黑" w:eastAsia="微软雅黑" w:cs="Arial"/>
          <w:b/>
          <w:color w:val="FF0000"/>
          <w:sz w:val="32"/>
          <w:szCs w:val="40"/>
        </w:rPr>
        <w:t>培训导师</w:t>
      </w:r>
      <w:bookmarkEnd w:id="0"/>
    </w:p>
    <w:p w14:paraId="5EDAC983">
      <w:pPr>
        <w:rPr>
          <w:rFonts w:hint="eastAsia" w:ascii="微软雅黑" w:hAnsi="微软雅黑" w:eastAsia="微软雅黑" w:cs="Arial"/>
          <w:b/>
          <w:bCs/>
          <w:color w:val="FF0000"/>
          <w:sz w:val="24"/>
        </w:rPr>
      </w:pPr>
      <w:r>
        <w:rPr>
          <w:rFonts w:ascii="微软雅黑" w:hAnsi="微软雅黑" w:eastAsia="微软雅黑"/>
          <w:b/>
          <w:color w:val="FF0000"/>
          <w:sz w:val="24"/>
        </w:rPr>
        <w:t>行业经验</w:t>
      </w:r>
    </w:p>
    <w:p w14:paraId="36014904">
      <w:pPr>
        <w:pStyle w:val="8"/>
        <w:numPr>
          <w:ilvl w:val="0"/>
          <w:numId w:val="14"/>
        </w:numPr>
        <w:ind w:firstLineChars="0"/>
        <w:rPr>
          <w:rFonts w:hint="eastAsia" w:ascii="微软雅黑" w:hAnsi="微软雅黑" w:eastAsia="微软雅黑"/>
          <w:sz w:val="24"/>
        </w:rPr>
      </w:pPr>
      <w:r>
        <w:rPr>
          <w:rFonts w:hint="eastAsia" w:ascii="微软雅黑" w:hAnsi="微软雅黑" w:eastAsia="微软雅黑"/>
          <w:sz w:val="24"/>
        </w:rPr>
        <w:t>清华、复旦、上海交大、浙大等高校MBA与高管总裁班---特聘导师</w:t>
      </w:r>
    </w:p>
    <w:p w14:paraId="545241DA">
      <w:pPr>
        <w:pStyle w:val="8"/>
        <w:numPr>
          <w:ilvl w:val="0"/>
          <w:numId w:val="14"/>
        </w:numPr>
        <w:ind w:firstLineChars="0"/>
        <w:rPr>
          <w:rFonts w:hint="eastAsia" w:ascii="微软雅黑" w:hAnsi="微软雅黑" w:eastAsia="微软雅黑"/>
          <w:sz w:val="24"/>
        </w:rPr>
      </w:pPr>
      <w:r>
        <w:rPr>
          <w:rFonts w:hint="eastAsia" w:ascii="微软雅黑" w:hAnsi="微软雅黑" w:eastAsia="微软雅黑"/>
          <w:sz w:val="24"/>
        </w:rPr>
        <w:t>曾在知名上市公司与5</w:t>
      </w:r>
      <w:r>
        <w:rPr>
          <w:rFonts w:ascii="微软雅黑" w:hAnsi="微软雅黑" w:eastAsia="微软雅黑"/>
          <w:sz w:val="24"/>
        </w:rPr>
        <w:t>00</w:t>
      </w:r>
      <w:r>
        <w:rPr>
          <w:rFonts w:hint="eastAsia" w:ascii="微软雅黑" w:hAnsi="微软雅黑" w:eastAsia="微软雅黑"/>
          <w:sz w:val="24"/>
        </w:rPr>
        <w:t>强外企担任总裁助理、全国销售总监、运营副总</w:t>
      </w:r>
    </w:p>
    <w:p w14:paraId="3ED49395">
      <w:pPr>
        <w:pStyle w:val="9"/>
        <w:widowControl/>
        <w:numPr>
          <w:ilvl w:val="0"/>
          <w:numId w:val="14"/>
        </w:numPr>
        <w:adjustRightInd w:val="0"/>
        <w:snapToGrid w:val="0"/>
        <w:spacing w:line="264" w:lineRule="auto"/>
        <w:ind w:right="17" w:firstLineChars="0"/>
        <w:rPr>
          <w:rFonts w:hint="eastAsia" w:ascii="微软雅黑" w:hAnsi="微软雅黑" w:eastAsia="微软雅黑"/>
          <w:sz w:val="24"/>
        </w:rPr>
      </w:pPr>
      <w:bookmarkStart w:id="2" w:name="_Hlk63505040"/>
      <w:r>
        <w:rPr>
          <w:rFonts w:hint="eastAsia" w:ascii="微软雅黑" w:hAnsi="微软雅黑" w:eastAsia="微软雅黑"/>
          <w:sz w:val="24"/>
        </w:rPr>
        <w:t>宝马中国、上汽集团、上气集团、招商银行、中国银行、平安集团常年合作培训导师</w:t>
      </w:r>
    </w:p>
    <w:bookmarkEnd w:id="2"/>
    <w:p w14:paraId="181E17AC">
      <w:pPr>
        <w:pStyle w:val="10"/>
        <w:numPr>
          <w:ilvl w:val="0"/>
          <w:numId w:val="14"/>
        </w:numPr>
        <w:ind w:firstLineChars="0"/>
        <w:rPr>
          <w:rFonts w:hint="eastAsia" w:ascii="微软雅黑" w:hAnsi="微软雅黑" w:eastAsia="微软雅黑"/>
          <w:sz w:val="24"/>
          <w:u w:val="single"/>
        </w:rPr>
      </w:pPr>
      <w:r>
        <w:rPr>
          <w:rFonts w:hint="eastAsia" w:ascii="微软雅黑" w:hAnsi="微软雅黑" w:eastAsia="微软雅黑"/>
          <w:sz w:val="24"/>
        </w:rPr>
        <w:t>英国Strengthscope优势国际测评、教练、项目设计受训导师</w:t>
      </w:r>
      <w:bookmarkStart w:id="3" w:name="OLE_LINK2"/>
    </w:p>
    <w:p w14:paraId="4D6518EE">
      <w:pPr>
        <w:pStyle w:val="9"/>
        <w:adjustRightInd w:val="0"/>
        <w:snapToGrid w:val="0"/>
        <w:ind w:right="125" w:firstLine="0" w:firstLineChars="0"/>
        <w:rPr>
          <w:rFonts w:hint="eastAsia" w:ascii="微软雅黑" w:hAnsi="微软雅黑" w:eastAsia="微软雅黑"/>
          <w:b/>
          <w:bCs/>
          <w:color w:val="FF0000"/>
          <w:sz w:val="24"/>
        </w:rPr>
      </w:pPr>
      <w:r>
        <w:rPr>
          <w:rFonts w:hint="eastAsia" w:ascii="微软雅黑" w:hAnsi="微软雅黑" w:eastAsia="微软雅黑"/>
          <w:b/>
          <w:bCs/>
          <w:color w:val="FF0000"/>
          <w:sz w:val="24"/>
        </w:rPr>
        <w:t>授课风格与体系</w:t>
      </w:r>
    </w:p>
    <w:p w14:paraId="3A7A375B">
      <w:pPr>
        <w:pStyle w:val="9"/>
        <w:numPr>
          <w:ilvl w:val="0"/>
          <w:numId w:val="15"/>
        </w:numPr>
        <w:adjustRightInd w:val="0"/>
        <w:snapToGrid w:val="0"/>
        <w:ind w:right="125" w:firstLineChars="0"/>
        <w:rPr>
          <w:rFonts w:hint="eastAsia" w:ascii="微软雅黑" w:hAnsi="微软雅黑" w:eastAsia="微软雅黑"/>
          <w:sz w:val="24"/>
        </w:rPr>
      </w:pPr>
      <w:r>
        <w:rPr>
          <w:rFonts w:hint="eastAsia" w:ascii="微软雅黑" w:hAnsi="微软雅黑" w:eastAsia="微软雅黑"/>
          <w:sz w:val="24"/>
        </w:rPr>
        <w:t>授课风格贴近学员，采用“浸入式”授课法，充分调动学员的参与性，培训方式多元化，实践工作经验丰富，解决课中问题能力强</w:t>
      </w:r>
    </w:p>
    <w:p w14:paraId="7DAA702D">
      <w:pPr>
        <w:pStyle w:val="9"/>
        <w:numPr>
          <w:ilvl w:val="0"/>
          <w:numId w:val="15"/>
        </w:numPr>
        <w:adjustRightInd w:val="0"/>
        <w:snapToGrid w:val="0"/>
        <w:ind w:right="125" w:firstLineChars="0"/>
        <w:rPr>
          <w:rFonts w:hint="eastAsia" w:ascii="微软雅黑" w:hAnsi="微软雅黑" w:eastAsia="微软雅黑"/>
          <w:sz w:val="24"/>
        </w:rPr>
      </w:pPr>
      <w:r>
        <w:rPr>
          <w:rFonts w:hint="eastAsia" w:ascii="微软雅黑" w:hAnsi="微软雅黑" w:eastAsia="微软雅黑"/>
          <w:sz w:val="24"/>
        </w:rPr>
        <w:t>以自研模型、经典理论为依据，形成自身独特观点，深入扎实，“深入浅出、案例贴近客户，强化练习多，行动计划设计完善”；</w:t>
      </w:r>
    </w:p>
    <w:p w14:paraId="382C53CF">
      <w:pPr>
        <w:pStyle w:val="9"/>
        <w:numPr>
          <w:ilvl w:val="0"/>
          <w:numId w:val="15"/>
        </w:numPr>
        <w:adjustRightInd w:val="0"/>
        <w:snapToGrid w:val="0"/>
        <w:ind w:right="125" w:firstLineChars="0"/>
        <w:rPr>
          <w:rFonts w:hint="eastAsia" w:ascii="微软雅黑" w:hAnsi="微软雅黑" w:eastAsia="微软雅黑"/>
          <w:sz w:val="24"/>
        </w:rPr>
      </w:pPr>
      <w:r>
        <w:rPr>
          <w:rFonts w:hint="eastAsia" w:ascii="微软雅黑" w:hAnsi="微软雅黑" w:eastAsia="微软雅黑"/>
          <w:sz w:val="24"/>
        </w:rPr>
        <w:t>课程的培训流程：</w:t>
      </w:r>
    </w:p>
    <w:p w14:paraId="20532255">
      <w:pPr>
        <w:adjustRightInd w:val="0"/>
        <w:snapToGrid w:val="0"/>
        <w:ind w:right="125"/>
        <w:rPr>
          <w:rFonts w:hint="eastAsia" w:ascii="微软雅黑" w:hAnsi="微软雅黑" w:eastAsia="微软雅黑"/>
          <w:bCs/>
          <w:sz w:val="22"/>
          <w:szCs w:val="22"/>
        </w:rPr>
      </w:pPr>
      <w:r>
        <w:rPr>
          <w:rFonts w:ascii="微软雅黑" w:hAnsi="微软雅黑" w:eastAsia="微软雅黑"/>
          <w:bCs/>
          <w:sz w:val="22"/>
          <w:szCs w:val="22"/>
        </w:rPr>
        <w:drawing>
          <wp:inline distT="0" distB="0" distL="0" distR="0">
            <wp:extent cx="3910965" cy="1891665"/>
            <wp:effectExtent l="0" t="0" r="5715" b="13335"/>
            <wp:docPr id="310770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7069"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6845" cy="1894761"/>
                    </a:xfrm>
                    <a:prstGeom prst="rect">
                      <a:avLst/>
                    </a:prstGeom>
                  </pic:spPr>
                </pic:pic>
              </a:graphicData>
            </a:graphic>
          </wp:inline>
        </w:drawing>
      </w:r>
    </w:p>
    <w:p w14:paraId="3058E3FB">
      <w:pPr>
        <w:adjustRightInd w:val="0"/>
        <w:snapToGrid w:val="0"/>
        <w:ind w:right="125"/>
        <w:rPr>
          <w:rFonts w:hint="eastAsia" w:ascii="微软雅黑" w:hAnsi="微软雅黑" w:eastAsia="微软雅黑"/>
          <w:b/>
          <w:bCs/>
          <w:color w:val="FF0000"/>
          <w:sz w:val="24"/>
        </w:rPr>
      </w:pPr>
      <w:r>
        <w:rPr>
          <w:rFonts w:hint="eastAsia" w:ascii="微软雅黑" w:hAnsi="微软雅黑" w:eastAsia="微软雅黑"/>
          <w:b/>
          <w:bCs/>
          <w:color w:val="FF0000"/>
          <w:sz w:val="24"/>
        </w:rPr>
        <w:t>课程亮点</w:t>
      </w:r>
    </w:p>
    <w:p w14:paraId="5D2EEA80">
      <w:pPr>
        <w:pStyle w:val="9"/>
        <w:numPr>
          <w:ilvl w:val="0"/>
          <w:numId w:val="16"/>
        </w:numPr>
        <w:adjustRightInd w:val="0"/>
        <w:snapToGrid w:val="0"/>
        <w:ind w:right="125" w:firstLineChars="0"/>
        <w:rPr>
          <w:rFonts w:hint="eastAsia" w:ascii="微软雅黑" w:hAnsi="微软雅黑" w:eastAsia="微软雅黑"/>
          <w:b/>
          <w:bCs/>
          <w:color w:val="FF0000"/>
          <w:sz w:val="24"/>
        </w:rPr>
      </w:pPr>
      <w:r>
        <w:rPr>
          <w:rFonts w:hint="eastAsia" w:ascii="微软雅黑" w:hAnsi="微软雅黑" w:eastAsia="微软雅黑"/>
          <w:b/>
          <w:bCs/>
          <w:color w:val="FF0000"/>
          <w:sz w:val="24"/>
        </w:rPr>
        <w:t>领导力课程以</w:t>
      </w:r>
      <w:r>
        <w:rPr>
          <w:rFonts w:hint="eastAsia" w:ascii="微软雅黑" w:hAnsi="微软雅黑" w:eastAsia="微软雅黑"/>
          <w:b/>
          <w:bCs/>
          <w:color w:val="FF0000"/>
          <w:sz w:val="24"/>
          <w:u w:val="single"/>
        </w:rPr>
        <w:t>“金三环理论“</w:t>
      </w:r>
      <w:r>
        <w:rPr>
          <w:rFonts w:hint="eastAsia" w:ascii="微软雅黑" w:hAnsi="微软雅黑" w:eastAsia="微软雅黑"/>
          <w:b/>
          <w:bCs/>
          <w:color w:val="FF0000"/>
          <w:sz w:val="24"/>
        </w:rPr>
        <w:t>为逻辑框架</w:t>
      </w:r>
    </w:p>
    <w:p w14:paraId="6BE713ED">
      <w:pPr>
        <w:pStyle w:val="9"/>
        <w:adjustRightInd w:val="0"/>
        <w:snapToGrid w:val="0"/>
        <w:ind w:left="420" w:right="125" w:firstLine="0" w:firstLineChars="0"/>
        <w:rPr>
          <w:rFonts w:hint="eastAsia" w:ascii="微软雅黑" w:hAnsi="微软雅黑" w:eastAsia="微软雅黑"/>
          <w:bCs/>
          <w:sz w:val="22"/>
          <w:szCs w:val="22"/>
        </w:rPr>
      </w:pPr>
      <w:r>
        <w:rPr>
          <w:rFonts w:ascii="微软雅黑" w:hAnsi="微软雅黑" w:eastAsia="微软雅黑"/>
          <w:bCs/>
          <w:sz w:val="22"/>
          <w:szCs w:val="22"/>
        </w:rPr>
        <w:drawing>
          <wp:inline distT="0" distB="0" distL="0" distR="0">
            <wp:extent cx="2611120" cy="1396365"/>
            <wp:effectExtent l="0" t="0" r="1016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0275" cy="1396365"/>
                    </a:xfrm>
                    <a:prstGeom prst="rect">
                      <a:avLst/>
                    </a:prstGeom>
                  </pic:spPr>
                </pic:pic>
              </a:graphicData>
            </a:graphic>
          </wp:inline>
        </w:drawing>
      </w:r>
    </w:p>
    <w:p w14:paraId="1AF46CBA">
      <w:pPr>
        <w:pStyle w:val="9"/>
        <w:adjustRightInd w:val="0"/>
        <w:snapToGrid w:val="0"/>
        <w:ind w:left="420" w:right="125" w:firstLine="0" w:firstLineChars="0"/>
        <w:rPr>
          <w:rFonts w:hint="eastAsia" w:ascii="微软雅黑" w:hAnsi="微软雅黑" w:eastAsia="微软雅黑"/>
          <w:bCs/>
          <w:sz w:val="22"/>
          <w:szCs w:val="22"/>
        </w:rPr>
      </w:pPr>
    </w:p>
    <w:p w14:paraId="31A740FF">
      <w:pPr>
        <w:pStyle w:val="8"/>
        <w:numPr>
          <w:ilvl w:val="0"/>
          <w:numId w:val="17"/>
        </w:numPr>
        <w:adjustRightInd w:val="0"/>
        <w:snapToGrid w:val="0"/>
        <w:ind w:right="125" w:firstLineChars="0"/>
        <w:rPr>
          <w:rFonts w:hint="eastAsia" w:ascii="微软雅黑" w:hAnsi="微软雅黑" w:eastAsia="微软雅黑"/>
          <w:bCs/>
          <w:color w:val="FF0000"/>
          <w:sz w:val="22"/>
          <w:szCs w:val="22"/>
        </w:rPr>
      </w:pPr>
      <w:r>
        <w:rPr>
          <w:rFonts w:hint="eastAsia" w:ascii="微软雅黑" w:hAnsi="微软雅黑" w:eastAsia="微软雅黑"/>
          <w:b/>
          <w:bCs/>
          <w:color w:val="FF0000"/>
          <w:sz w:val="24"/>
        </w:rPr>
        <w:t>影响力的思维模式与能力技巧</w:t>
      </w:r>
    </w:p>
    <w:p w14:paraId="787543BC">
      <w:pPr>
        <w:adjustRightInd w:val="0"/>
        <w:snapToGrid w:val="0"/>
        <w:spacing w:line="264" w:lineRule="auto"/>
        <w:ind w:right="125"/>
        <w:rPr>
          <w:rFonts w:hint="eastAsia" w:ascii="微软雅黑" w:hAnsi="微软雅黑" w:eastAsia="微软雅黑"/>
          <w:b/>
          <w:color w:val="FF0000"/>
          <w:sz w:val="22"/>
          <w:szCs w:val="22"/>
        </w:rPr>
      </w:pPr>
      <w:r>
        <w:rPr>
          <w:rFonts w:ascii="微软雅黑" w:hAnsi="微软雅黑" w:eastAsia="微软雅黑"/>
          <w:b/>
          <w:color w:val="FF0000"/>
          <w:sz w:val="22"/>
          <w:szCs w:val="22"/>
        </w:rPr>
        <w:drawing>
          <wp:inline distT="0" distB="0" distL="0" distR="0">
            <wp:extent cx="3371850" cy="2306955"/>
            <wp:effectExtent l="0" t="0" r="11430" b="9525"/>
            <wp:docPr id="406482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822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09023" cy="2306955"/>
                    </a:xfrm>
                    <a:prstGeom prst="rect">
                      <a:avLst/>
                    </a:prstGeom>
                    <a:noFill/>
                  </pic:spPr>
                </pic:pic>
              </a:graphicData>
            </a:graphic>
          </wp:inline>
        </w:drawing>
      </w:r>
    </w:p>
    <w:p w14:paraId="5B680416">
      <w:pPr>
        <w:pStyle w:val="8"/>
        <w:numPr>
          <w:ilvl w:val="0"/>
          <w:numId w:val="17"/>
        </w:numPr>
        <w:adjustRightInd w:val="0"/>
        <w:snapToGrid w:val="0"/>
        <w:spacing w:line="264" w:lineRule="auto"/>
        <w:ind w:right="125" w:firstLineChars="0"/>
        <w:rPr>
          <w:rFonts w:hint="eastAsia" w:ascii="微软雅黑" w:hAnsi="微软雅黑" w:eastAsia="微软雅黑"/>
          <w:b/>
          <w:color w:val="FF0000"/>
          <w:sz w:val="24"/>
        </w:rPr>
      </w:pPr>
      <w:r>
        <w:rPr>
          <w:rFonts w:hint="eastAsia" w:ascii="微软雅黑" w:hAnsi="微软雅黑" w:eastAsia="微软雅黑"/>
          <w:b/>
          <w:color w:val="FF0000"/>
          <w:sz w:val="24"/>
        </w:rPr>
        <w:t>敏捷组织</w:t>
      </w:r>
      <w:r>
        <w:rPr>
          <w:rFonts w:ascii="微软雅黑" w:hAnsi="微软雅黑" w:eastAsia="微软雅黑"/>
          <w:b/>
          <w:color w:val="FF0000"/>
          <w:sz w:val="24"/>
        </w:rPr>
        <w:t>---</w:t>
      </w:r>
      <w:r>
        <w:rPr>
          <w:rFonts w:hint="eastAsia" w:ascii="微软雅黑" w:hAnsi="微软雅黑" w:eastAsia="微软雅黑"/>
          <w:b/>
          <w:color w:val="FF0000"/>
          <w:sz w:val="24"/>
        </w:rPr>
        <w:t>团队具备快速调整战略、结构、流程、人员和科技以获得产生价值和保护已有价值的能力</w:t>
      </w:r>
    </w:p>
    <w:p w14:paraId="788426AF">
      <w:pPr>
        <w:adjustRightInd w:val="0"/>
        <w:snapToGrid w:val="0"/>
        <w:spacing w:line="264" w:lineRule="auto"/>
        <w:ind w:right="125"/>
        <w:rPr>
          <w:rFonts w:hint="eastAsia" w:ascii="微软雅黑" w:hAnsi="微软雅黑" w:eastAsia="微软雅黑"/>
          <w:b/>
          <w:sz w:val="24"/>
        </w:rPr>
      </w:pPr>
      <w:r>
        <w:rPr>
          <w:rFonts w:ascii="微软雅黑" w:hAnsi="微软雅黑" w:eastAsia="微软雅黑"/>
          <w:b/>
          <w:sz w:val="24"/>
        </w:rPr>
        <w:drawing>
          <wp:inline distT="0" distB="0" distL="0" distR="0">
            <wp:extent cx="5057775" cy="2197100"/>
            <wp:effectExtent l="0" t="0" r="1905" b="12700"/>
            <wp:docPr id="1257712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211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57812" cy="2197100"/>
                    </a:xfrm>
                    <a:prstGeom prst="rect">
                      <a:avLst/>
                    </a:prstGeom>
                  </pic:spPr>
                </pic:pic>
              </a:graphicData>
            </a:graphic>
          </wp:inline>
        </w:drawing>
      </w:r>
    </w:p>
    <w:bookmarkEnd w:id="1"/>
    <w:bookmarkEnd w:id="3"/>
    <w:p w14:paraId="0C4569E8">
      <w:pPr>
        <w:adjustRightInd w:val="0"/>
        <w:snapToGrid w:val="0"/>
        <w:spacing w:line="264" w:lineRule="auto"/>
        <w:ind w:right="125"/>
        <w:rPr>
          <w:rFonts w:hint="eastAsia" w:ascii="微软雅黑" w:hAnsi="微软雅黑" w:eastAsia="微软雅黑"/>
          <w:b/>
          <w:color w:val="FF0000"/>
          <w:sz w:val="24"/>
        </w:rPr>
      </w:pPr>
      <w:bookmarkStart w:id="4" w:name="OLE_LINK3"/>
      <w:bookmarkStart w:id="5" w:name="OLE_LINK4"/>
      <w:bookmarkStart w:id="6" w:name="OLE_LINK5"/>
    </w:p>
    <w:p w14:paraId="5DFCA3FC">
      <w:pPr>
        <w:adjustRightInd w:val="0"/>
        <w:snapToGrid w:val="0"/>
        <w:spacing w:line="264" w:lineRule="auto"/>
        <w:ind w:right="125"/>
        <w:rPr>
          <w:rFonts w:hint="eastAsia" w:ascii="微软雅黑" w:hAnsi="微软雅黑" w:eastAsia="微软雅黑"/>
          <w:b/>
          <w:color w:val="FF0000"/>
          <w:sz w:val="24"/>
        </w:rPr>
      </w:pPr>
      <w:r>
        <w:rPr>
          <w:rFonts w:hint="eastAsia" w:ascii="微软雅黑" w:hAnsi="微软雅黑" w:eastAsia="微软雅黑"/>
          <w:b/>
          <w:color w:val="FF0000"/>
          <w:sz w:val="24"/>
        </w:rPr>
        <w:t>标杆</w:t>
      </w:r>
      <w:r>
        <w:rPr>
          <w:rFonts w:ascii="微软雅黑" w:hAnsi="微软雅黑" w:eastAsia="微软雅黑"/>
          <w:b/>
          <w:color w:val="FF0000"/>
          <w:sz w:val="24"/>
        </w:rPr>
        <w:t>客户（多次重复采购客户）</w:t>
      </w:r>
      <w:r>
        <w:rPr>
          <w:rFonts w:hint="eastAsia" w:ascii="微软雅黑" w:hAnsi="微软雅黑" w:eastAsia="微软雅黑"/>
          <w:b/>
          <w:color w:val="FF0000"/>
          <w:sz w:val="24"/>
        </w:rPr>
        <w:t>---是课程质量可靠的信用背书</w:t>
      </w:r>
    </w:p>
    <w:p w14:paraId="402BF3AB">
      <w:pPr>
        <w:spacing w:line="240" w:lineRule="atLeast"/>
        <w:rPr>
          <w:rFonts w:hint="eastAsia" w:ascii="微软雅黑" w:hAnsi="微软雅黑" w:eastAsia="微软雅黑"/>
          <w:sz w:val="24"/>
        </w:rPr>
      </w:pPr>
      <w:r>
        <w:rPr>
          <w:rFonts w:hint="eastAsia" w:ascii="微软雅黑" w:hAnsi="微软雅黑" w:eastAsia="微软雅黑"/>
          <w:sz w:val="24"/>
        </w:rPr>
        <w:t>上汽集团，宝马中国，沃尔沃汽车，卡特彼勒，利星行，舍弗勒，采埃孚，博世电子，宝武集团，日立电梯，徐工集团，中国中车，塞拉尼斯，德力西，上海电气，三菱自动化，华谊集团，施耐德，华润集团， 西门子集团，法国液化空气，卫材制药、罗氏诊断，华侨城，工商银行，建设银行，中国银行，农业银行，招商银行，交通银行，南京银行，浦发银行，花旗银行，华侨永亨，平安银行，光大银行，邮储银行，中信银行，兴业银行，平安人寿，平安租赁，华泰人寿，宁波银行，银河期货，申万宏源，申银万国期货，万科集团，绿地集团，绿城集团，新城控股，融创中国，链家，中交集团，中建三局，腾讯中国，中国移动，中国电信</w:t>
      </w:r>
      <w:r>
        <w:rPr>
          <w:rFonts w:ascii="微软雅黑" w:hAnsi="微软雅黑" w:eastAsia="微软雅黑"/>
          <w:sz w:val="24"/>
        </w:rPr>
        <w:t>，中国网通，</w:t>
      </w:r>
      <w:r>
        <w:rPr>
          <w:rFonts w:hint="eastAsia" w:ascii="微软雅黑" w:hAnsi="微软雅黑" w:eastAsia="微软雅黑"/>
          <w:sz w:val="24"/>
        </w:rPr>
        <w:t>中国铁塔、诺基亚贝尔，华东电网，南方电网，华东空管局，白云机场、东方航空、海航集团，魏桥集团，中国烟草，中远集团，上港集团，</w:t>
      </w:r>
      <w:bookmarkEnd w:id="4"/>
      <w:bookmarkEnd w:id="5"/>
      <w:r>
        <w:rPr>
          <w:rFonts w:hint="eastAsia" w:ascii="微软雅黑" w:hAnsi="微软雅黑" w:eastAsia="微软雅黑"/>
          <w:sz w:val="24"/>
        </w:rPr>
        <w:t>欧尚中国，智联招聘，阿迪达斯，光明集团，伊利集团，阿迪达斯，清华大学，复旦大学、上海交大，浙江大学</w:t>
      </w:r>
      <w:bookmarkEnd w:id="6"/>
      <w:r>
        <w:rPr>
          <w:rFonts w:ascii="微软雅黑" w:hAnsi="微软雅黑" w:eastAsia="微软雅黑"/>
          <w:sz w:val="24"/>
        </w:rPr>
        <w:t>….</w:t>
      </w:r>
    </w:p>
    <w:p w14:paraId="712FC5AE">
      <w:pPr>
        <w:spacing w:line="240" w:lineRule="atLeast"/>
        <w:rPr>
          <w:rFonts w:hint="eastAsia" w:ascii="微软雅黑" w:hAnsi="微软雅黑" w:eastAsia="微软雅黑"/>
          <w:b/>
          <w:color w:val="FF0000"/>
          <w:sz w:val="24"/>
        </w:rPr>
      </w:pPr>
      <w:r>
        <w:rPr>
          <w:rFonts w:hint="eastAsia" w:ascii="微软雅黑" w:hAnsi="微软雅黑" w:eastAsia="微软雅黑"/>
          <w:b/>
          <w:color w:val="FF0000"/>
          <w:sz w:val="24"/>
        </w:rPr>
        <w:t>客户反馈</w:t>
      </w:r>
    </w:p>
    <w:p w14:paraId="5EA6BB35">
      <w:pPr>
        <w:pStyle w:val="8"/>
        <w:numPr>
          <w:ilvl w:val="0"/>
          <w:numId w:val="18"/>
        </w:numPr>
        <w:spacing w:line="240" w:lineRule="atLeast"/>
        <w:ind w:firstLineChars="0"/>
        <w:rPr>
          <w:rFonts w:hint="eastAsia" w:ascii="微软雅黑" w:hAnsi="微软雅黑" w:eastAsia="微软雅黑"/>
          <w:sz w:val="24"/>
        </w:rPr>
      </w:pPr>
      <w:r>
        <w:rPr>
          <w:rFonts w:hint="eastAsia" w:ascii="微软雅黑" w:hAnsi="微软雅黑" w:eastAsia="微软雅黑"/>
          <w:b/>
          <w:bCs/>
          <w:sz w:val="24"/>
        </w:rPr>
        <w:t>通过本次宝贵的学习机会，让我学习了很多东西，感触很多。此次会议让我学习到了领导者在团队中角色的定位和作用，面试技巧和员工辅导等重要的知识。</w:t>
      </w:r>
      <w:r>
        <w:rPr>
          <w:rFonts w:ascii="微软雅黑" w:hAnsi="微软雅黑" w:eastAsia="微软雅黑"/>
          <w:b/>
          <w:bCs/>
          <w:sz w:val="24"/>
        </w:rPr>
        <w:t xml:space="preserve">     </w:t>
      </w:r>
      <w:r>
        <w:rPr>
          <w:rFonts w:hint="eastAsia" w:ascii="微软雅黑" w:hAnsi="微软雅黑" w:eastAsia="微软雅黑"/>
          <w:sz w:val="24"/>
        </w:rPr>
        <w:t>——国内最早之一的中外合资电器公司研发总监</w:t>
      </w:r>
    </w:p>
    <w:p w14:paraId="788F3BAB">
      <w:pPr>
        <w:pStyle w:val="8"/>
        <w:numPr>
          <w:ilvl w:val="0"/>
          <w:numId w:val="18"/>
        </w:numPr>
        <w:spacing w:line="240" w:lineRule="atLeast"/>
        <w:ind w:firstLineChars="0"/>
        <w:rPr>
          <w:rFonts w:hint="eastAsia" w:ascii="微软雅黑" w:hAnsi="微软雅黑" w:eastAsia="微软雅黑"/>
          <w:sz w:val="24"/>
        </w:rPr>
      </w:pPr>
      <w:r>
        <w:rPr>
          <w:rFonts w:hint="eastAsia" w:ascii="微软雅黑" w:hAnsi="微软雅黑" w:eastAsia="微软雅黑"/>
          <w:b/>
          <w:bCs/>
          <w:sz w:val="24"/>
        </w:rPr>
        <w:t>培训的内容包含面较广，涉及面深入，培训师讲课精彩，从各种案例中学习总结学习成果。通过这次培训，让我从不同角度体会最好的管理知识，领导理念，进一步提升了自己。</w:t>
      </w:r>
      <w:r>
        <w:rPr>
          <w:rFonts w:hint="eastAsia" w:ascii="微软雅黑" w:hAnsi="微软雅黑" w:eastAsia="微软雅黑"/>
          <w:sz w:val="24"/>
        </w:rPr>
        <w:t>——某国有银行省行私人银行经理</w:t>
      </w:r>
    </w:p>
    <w:p w14:paraId="1ECEE185">
      <w:pPr>
        <w:pStyle w:val="8"/>
        <w:numPr>
          <w:ilvl w:val="0"/>
          <w:numId w:val="18"/>
        </w:numPr>
        <w:spacing w:line="240" w:lineRule="atLeast"/>
        <w:ind w:firstLineChars="0"/>
        <w:rPr>
          <w:rFonts w:hint="eastAsia" w:ascii="微软雅黑" w:hAnsi="微软雅黑" w:eastAsia="微软雅黑"/>
          <w:sz w:val="24"/>
        </w:rPr>
      </w:pPr>
      <w:r>
        <w:rPr>
          <w:rFonts w:hint="eastAsia" w:ascii="微软雅黑" w:hAnsi="微软雅黑" w:eastAsia="微软雅黑"/>
          <w:b/>
          <w:bCs/>
          <w:sz w:val="24"/>
        </w:rPr>
        <w:t>课程实用特别在说服力环节实践性更强，对未来的工作有所助益，对通过沟通了解挖掘深层的意思表达给出了指引</w:t>
      </w:r>
      <w:r>
        <w:rPr>
          <w:rFonts w:hint="eastAsia" w:ascii="微软雅黑" w:hAnsi="微软雅黑" w:eastAsia="微软雅黑"/>
          <w:sz w:val="24"/>
        </w:rPr>
        <w:t>——某德资汽车总装公司采购经理</w:t>
      </w:r>
    </w:p>
    <w:p w14:paraId="1DE6D056">
      <w:pPr>
        <w:pStyle w:val="8"/>
        <w:numPr>
          <w:ilvl w:val="0"/>
          <w:numId w:val="18"/>
        </w:numPr>
        <w:spacing w:line="240" w:lineRule="atLeast"/>
        <w:ind w:firstLineChars="0"/>
        <w:rPr>
          <w:rFonts w:hint="eastAsia" w:ascii="微软雅黑" w:hAnsi="微软雅黑" w:eastAsia="微软雅黑"/>
          <w:sz w:val="24"/>
        </w:rPr>
      </w:pPr>
      <w:r>
        <w:rPr>
          <w:rFonts w:hint="eastAsia" w:ascii="微软雅黑" w:hAnsi="微软雅黑" w:eastAsia="微软雅黑"/>
          <w:b/>
          <w:bCs/>
          <w:sz w:val="24"/>
        </w:rPr>
        <w:t>韦老师的课程设计结构清晰，层次感强，运用典型的“五步教学法”，让学员在课后易于运用和实践。</w:t>
      </w:r>
      <w:r>
        <w:rPr>
          <w:rFonts w:hint="eastAsia" w:ascii="微软雅黑" w:hAnsi="微软雅黑" w:eastAsia="微软雅黑"/>
          <w:sz w:val="24"/>
        </w:rPr>
        <w:t>——某上市电气配件公司总部战略部负责人</w:t>
      </w:r>
    </w:p>
    <w:p w14:paraId="7F4B4B3D">
      <w:pPr>
        <w:pStyle w:val="8"/>
        <w:numPr>
          <w:ilvl w:val="0"/>
          <w:numId w:val="19"/>
        </w:numPr>
        <w:spacing w:line="240" w:lineRule="atLeast"/>
        <w:ind w:firstLineChars="0"/>
        <w:rPr>
          <w:rFonts w:hint="eastAsia" w:ascii="微软雅黑" w:hAnsi="微软雅黑" w:eastAsia="微软雅黑"/>
          <w:b/>
          <w:bCs/>
          <w:sz w:val="24"/>
        </w:rPr>
      </w:pPr>
      <w:r>
        <w:rPr>
          <w:rFonts w:hint="eastAsia" w:ascii="微软雅黑" w:hAnsi="微软雅黑" w:eastAsia="微软雅黑"/>
          <w:b/>
          <w:bCs/>
          <w:sz w:val="24"/>
        </w:rPr>
        <w:t>对领导团队及团队激励，团队管理技巧，团队中各个问题的处理与协调以及作为团队领导者所必需具备的本质和技巧进行有效的提升，在实际工作中对业务人员的管理及业务人员组建等方面提供了非常有效的方法。</w:t>
      </w:r>
    </w:p>
    <w:p w14:paraId="63DEE554">
      <w:pPr>
        <w:pStyle w:val="8"/>
        <w:spacing w:line="240" w:lineRule="atLeast"/>
        <w:ind w:left="557" w:firstLine="0" w:firstLineChars="0"/>
        <w:rPr>
          <w:rFonts w:hint="eastAsia" w:ascii="微软雅黑" w:hAnsi="微软雅黑" w:eastAsia="微软雅黑"/>
          <w:sz w:val="24"/>
        </w:rPr>
      </w:pPr>
      <w:r>
        <w:rPr>
          <w:rFonts w:ascii="微软雅黑" w:hAnsi="微软雅黑" w:eastAsia="微软雅黑"/>
          <w:sz w:val="24"/>
        </w:rPr>
        <w:t xml:space="preserve">                                      </w:t>
      </w:r>
      <w:r>
        <w:rPr>
          <w:rFonts w:hint="eastAsia" w:ascii="微软雅黑" w:hAnsi="微软雅黑" w:eastAsia="微软雅黑"/>
          <w:sz w:val="24"/>
        </w:rPr>
        <w:t xml:space="preserve">——某外资制药公司大区经理                                              </w:t>
      </w:r>
      <w:r>
        <w:rPr>
          <w:rFonts w:ascii="微软雅黑" w:hAnsi="微软雅黑" w:eastAsia="微软雅黑"/>
          <w:sz w:val="24"/>
        </w:rPr>
        <w:t xml:space="preserve">              </w:t>
      </w:r>
    </w:p>
    <w:p w14:paraId="7910AFF6">
      <w:pPr>
        <w:pStyle w:val="8"/>
        <w:numPr>
          <w:ilvl w:val="0"/>
          <w:numId w:val="19"/>
        </w:numPr>
        <w:spacing w:line="240" w:lineRule="atLeast"/>
        <w:ind w:firstLineChars="0"/>
        <w:rPr>
          <w:rFonts w:hint="eastAsia" w:ascii="微软雅黑" w:hAnsi="微软雅黑" w:eastAsia="微软雅黑"/>
          <w:b/>
          <w:bCs/>
          <w:sz w:val="24"/>
        </w:rPr>
      </w:pPr>
      <w:r>
        <w:rPr>
          <w:rFonts w:hint="eastAsia" w:ascii="微软雅黑" w:hAnsi="微软雅黑" w:eastAsia="微软雅黑"/>
          <w:b/>
          <w:bCs/>
          <w:sz w:val="24"/>
        </w:rPr>
        <w:t xml:space="preserve">通过2天的培训，我了解到了新生代员工的特点，也明白要如何去改善团队氛围、处理好上下级关系，对我之后的管理工作有很大的帮助。                                 </w:t>
      </w:r>
    </w:p>
    <w:p w14:paraId="596E1C34">
      <w:pPr>
        <w:spacing w:line="240" w:lineRule="atLeast"/>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sz w:val="24"/>
        </w:rPr>
        <w:t xml:space="preserve"> </w:t>
      </w:r>
      <w:r>
        <w:rPr>
          <w:rFonts w:ascii="微软雅黑" w:hAnsi="微软雅黑" w:eastAsia="微软雅黑"/>
          <w:sz w:val="24"/>
        </w:rPr>
        <w:t xml:space="preserve">                                          </w:t>
      </w:r>
      <w:r>
        <w:rPr>
          <w:rFonts w:hint="eastAsia" w:ascii="微软雅黑" w:hAnsi="微软雅黑" w:eastAsia="微软雅黑"/>
          <w:sz w:val="24"/>
        </w:rPr>
        <w:t>——某新材料公司副总经理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D75BE"/>
    <w:multiLevelType w:val="multilevel"/>
    <w:tmpl w:val="024D75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EB8556A"/>
    <w:multiLevelType w:val="multilevel"/>
    <w:tmpl w:val="0EB855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61B2BBE"/>
    <w:multiLevelType w:val="multilevel"/>
    <w:tmpl w:val="161B2BBE"/>
    <w:lvl w:ilvl="0" w:tentative="0">
      <w:start w:val="1"/>
      <w:numFmt w:val="bullet"/>
      <w:lvlText w:val=""/>
      <w:lvlJc w:val="left"/>
      <w:pPr>
        <w:ind w:left="557" w:hanging="440"/>
      </w:pPr>
      <w:rPr>
        <w:rFonts w:hint="default" w:ascii="Wingdings" w:hAnsi="Wingdings"/>
      </w:rPr>
    </w:lvl>
    <w:lvl w:ilvl="1" w:tentative="0">
      <w:start w:val="1"/>
      <w:numFmt w:val="bullet"/>
      <w:lvlText w:val=""/>
      <w:lvlJc w:val="left"/>
      <w:pPr>
        <w:ind w:left="997" w:hanging="440"/>
      </w:pPr>
      <w:rPr>
        <w:rFonts w:hint="default" w:ascii="Wingdings" w:hAnsi="Wingdings"/>
      </w:rPr>
    </w:lvl>
    <w:lvl w:ilvl="2" w:tentative="0">
      <w:start w:val="1"/>
      <w:numFmt w:val="bullet"/>
      <w:lvlText w:val=""/>
      <w:lvlJc w:val="left"/>
      <w:pPr>
        <w:ind w:left="1437" w:hanging="440"/>
      </w:pPr>
      <w:rPr>
        <w:rFonts w:hint="default" w:ascii="Wingdings" w:hAnsi="Wingdings"/>
      </w:rPr>
    </w:lvl>
    <w:lvl w:ilvl="3" w:tentative="0">
      <w:start w:val="1"/>
      <w:numFmt w:val="bullet"/>
      <w:lvlText w:val=""/>
      <w:lvlJc w:val="left"/>
      <w:pPr>
        <w:ind w:left="1877" w:hanging="440"/>
      </w:pPr>
      <w:rPr>
        <w:rFonts w:hint="default" w:ascii="Wingdings" w:hAnsi="Wingdings"/>
      </w:rPr>
    </w:lvl>
    <w:lvl w:ilvl="4" w:tentative="0">
      <w:start w:val="1"/>
      <w:numFmt w:val="bullet"/>
      <w:lvlText w:val=""/>
      <w:lvlJc w:val="left"/>
      <w:pPr>
        <w:ind w:left="2317" w:hanging="440"/>
      </w:pPr>
      <w:rPr>
        <w:rFonts w:hint="default" w:ascii="Wingdings" w:hAnsi="Wingdings"/>
      </w:rPr>
    </w:lvl>
    <w:lvl w:ilvl="5" w:tentative="0">
      <w:start w:val="1"/>
      <w:numFmt w:val="bullet"/>
      <w:lvlText w:val=""/>
      <w:lvlJc w:val="left"/>
      <w:pPr>
        <w:ind w:left="2757" w:hanging="440"/>
      </w:pPr>
      <w:rPr>
        <w:rFonts w:hint="default" w:ascii="Wingdings" w:hAnsi="Wingdings"/>
      </w:rPr>
    </w:lvl>
    <w:lvl w:ilvl="6" w:tentative="0">
      <w:start w:val="1"/>
      <w:numFmt w:val="bullet"/>
      <w:lvlText w:val=""/>
      <w:lvlJc w:val="left"/>
      <w:pPr>
        <w:ind w:left="3197" w:hanging="440"/>
      </w:pPr>
      <w:rPr>
        <w:rFonts w:hint="default" w:ascii="Wingdings" w:hAnsi="Wingdings"/>
      </w:rPr>
    </w:lvl>
    <w:lvl w:ilvl="7" w:tentative="0">
      <w:start w:val="1"/>
      <w:numFmt w:val="bullet"/>
      <w:lvlText w:val=""/>
      <w:lvlJc w:val="left"/>
      <w:pPr>
        <w:ind w:left="3637" w:hanging="440"/>
      </w:pPr>
      <w:rPr>
        <w:rFonts w:hint="default" w:ascii="Wingdings" w:hAnsi="Wingdings"/>
      </w:rPr>
    </w:lvl>
    <w:lvl w:ilvl="8" w:tentative="0">
      <w:start w:val="1"/>
      <w:numFmt w:val="bullet"/>
      <w:lvlText w:val=""/>
      <w:lvlJc w:val="left"/>
      <w:pPr>
        <w:ind w:left="4077" w:hanging="440"/>
      </w:pPr>
      <w:rPr>
        <w:rFonts w:hint="default" w:ascii="Wingdings" w:hAnsi="Wingdings"/>
      </w:rPr>
    </w:lvl>
  </w:abstractNum>
  <w:abstractNum w:abstractNumId="3">
    <w:nsid w:val="17944808"/>
    <w:multiLevelType w:val="multilevel"/>
    <w:tmpl w:val="179448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C0C2B68"/>
    <w:multiLevelType w:val="multilevel"/>
    <w:tmpl w:val="1C0C2B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50029BF"/>
    <w:multiLevelType w:val="multilevel"/>
    <w:tmpl w:val="250029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A013351"/>
    <w:multiLevelType w:val="multilevel"/>
    <w:tmpl w:val="2A0133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04F76AE"/>
    <w:multiLevelType w:val="multilevel"/>
    <w:tmpl w:val="304F76A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34184687"/>
    <w:multiLevelType w:val="multilevel"/>
    <w:tmpl w:val="3418468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40C761DD"/>
    <w:multiLevelType w:val="multilevel"/>
    <w:tmpl w:val="40C761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5170859"/>
    <w:multiLevelType w:val="multilevel"/>
    <w:tmpl w:val="5517085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7D551E6"/>
    <w:multiLevelType w:val="multilevel"/>
    <w:tmpl w:val="57D551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5D161A6"/>
    <w:multiLevelType w:val="multilevel"/>
    <w:tmpl w:val="65D161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776618C"/>
    <w:multiLevelType w:val="multilevel"/>
    <w:tmpl w:val="677661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A46445C"/>
    <w:multiLevelType w:val="multilevel"/>
    <w:tmpl w:val="6A4644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AB3249D"/>
    <w:multiLevelType w:val="multilevel"/>
    <w:tmpl w:val="6AB3249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725A3156"/>
    <w:multiLevelType w:val="multilevel"/>
    <w:tmpl w:val="725A31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298096B"/>
    <w:multiLevelType w:val="multilevel"/>
    <w:tmpl w:val="729809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85240CC"/>
    <w:multiLevelType w:val="multilevel"/>
    <w:tmpl w:val="785240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
  </w:num>
  <w:num w:numId="3">
    <w:abstractNumId w:val="15"/>
  </w:num>
  <w:num w:numId="4">
    <w:abstractNumId w:val="11"/>
  </w:num>
  <w:num w:numId="5">
    <w:abstractNumId w:val="12"/>
  </w:num>
  <w:num w:numId="6">
    <w:abstractNumId w:val="0"/>
  </w:num>
  <w:num w:numId="7">
    <w:abstractNumId w:val="17"/>
  </w:num>
  <w:num w:numId="8">
    <w:abstractNumId w:val="13"/>
  </w:num>
  <w:num w:numId="9">
    <w:abstractNumId w:val="10"/>
  </w:num>
  <w:num w:numId="10">
    <w:abstractNumId w:val="9"/>
  </w:num>
  <w:num w:numId="11">
    <w:abstractNumId w:val="5"/>
  </w:num>
  <w:num w:numId="12">
    <w:abstractNumId w:val="6"/>
  </w:num>
  <w:num w:numId="13">
    <w:abstractNumId w:val="3"/>
  </w:num>
  <w:num w:numId="14">
    <w:abstractNumId w:val="16"/>
  </w:num>
  <w:num w:numId="15">
    <w:abstractNumId w:val="8"/>
  </w:num>
  <w:num w:numId="16">
    <w:abstractNumId w:val="4"/>
  </w:num>
  <w:num w:numId="17">
    <w:abstractNumId w:val="7"/>
  </w:num>
  <w:num w:numId="18">
    <w:abstractNumId w:val="1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wNjQwMzQ5N2U2OWJmNjY1Mjc5NzA3N2U5YzdjMzMifQ=="/>
  </w:docVars>
  <w:rsids>
    <w:rsidRoot w:val="34370343"/>
    <w:rsid w:val="02FD6F0C"/>
    <w:rsid w:val="0800131F"/>
    <w:rsid w:val="0D500EDC"/>
    <w:rsid w:val="12F83AAE"/>
    <w:rsid w:val="164D4847"/>
    <w:rsid w:val="175757FA"/>
    <w:rsid w:val="1F152C0F"/>
    <w:rsid w:val="22777E18"/>
    <w:rsid w:val="239917B9"/>
    <w:rsid w:val="27107385"/>
    <w:rsid w:val="2BAA0756"/>
    <w:rsid w:val="2BCA2F43"/>
    <w:rsid w:val="2C8763E0"/>
    <w:rsid w:val="31311E4B"/>
    <w:rsid w:val="31D717F6"/>
    <w:rsid w:val="34370343"/>
    <w:rsid w:val="351767C7"/>
    <w:rsid w:val="35AD0F3B"/>
    <w:rsid w:val="36F10B30"/>
    <w:rsid w:val="38642984"/>
    <w:rsid w:val="38A44017"/>
    <w:rsid w:val="3A14111F"/>
    <w:rsid w:val="3BFA2022"/>
    <w:rsid w:val="3EBF1528"/>
    <w:rsid w:val="44BC2C73"/>
    <w:rsid w:val="46347A56"/>
    <w:rsid w:val="48E52C26"/>
    <w:rsid w:val="4C2464AF"/>
    <w:rsid w:val="558A771A"/>
    <w:rsid w:val="57835A1E"/>
    <w:rsid w:val="580B114B"/>
    <w:rsid w:val="59563FA0"/>
    <w:rsid w:val="66F5345C"/>
    <w:rsid w:val="6AC02A7D"/>
    <w:rsid w:val="6B347157"/>
    <w:rsid w:val="7E4A0D9D"/>
    <w:rsid w:val="7EE30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样式1"/>
    <w:basedOn w:val="3"/>
    <w:qFormat/>
    <w:uiPriority w:val="0"/>
    <w:pPr>
      <w:spacing w:line="360" w:lineRule="auto"/>
      <w:jc w:val="center"/>
    </w:pPr>
    <w:rPr>
      <w:rFonts w:ascii="微软雅黑" w:hAnsi="微软雅黑" w:eastAsia="微软雅黑"/>
      <w:sz w:val="32"/>
      <w:szCs w:val="32"/>
    </w:rPr>
  </w:style>
  <w:style w:type="paragraph" w:styleId="8">
    <w:name w:val="List Paragraph"/>
    <w:basedOn w:val="1"/>
    <w:qFormat/>
    <w:uiPriority w:val="99"/>
    <w:pPr>
      <w:ind w:firstLine="420" w:firstLineChars="200"/>
    </w:pPr>
  </w:style>
  <w:style w:type="paragraph" w:customStyle="1" w:styleId="9">
    <w:name w:val="列出段落1"/>
    <w:basedOn w:val="1"/>
    <w:qFormat/>
    <w:uiPriority w:val="34"/>
    <w:pPr>
      <w:ind w:firstLine="420" w:firstLineChars="200"/>
    </w:pPr>
  </w:style>
  <w:style w:type="paragraph" w:customStyle="1" w:styleId="10">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3389</Words>
  <Characters>3600</Characters>
  <Lines>0</Lines>
  <Paragraphs>0</Paragraphs>
  <TotalTime>0</TotalTime>
  <ScaleCrop>false</ScaleCrop>
  <LinksUpToDate>false</LinksUpToDate>
  <CharactersWithSpaces>3967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2019-03-11T22:24:00Z</dcterms:created>
  <dc:creator>曹礼明</dc:creator>
  <cp:lastModifiedBy>風</cp:lastModifiedBy>
  <dcterms:modified xsi:type="dcterms:W3CDTF">2024-10-30T08:51:19Z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7C9C44B01F2C4E02B655E3870539F9B8_13</vt:lpwstr>
  </property>
</Properties>
</file>