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0.svg" ContentType="image/svg+xml"/>
  <Override PartName="/word/media/image12.svg" ContentType="image/svg+xml"/>
  <Override PartName="/word/media/image14.svg" ContentType="image/svg+xml"/>
  <Override PartName="/word/media/image4.svg" ContentType="image/svg+xml"/>
  <Override PartName="/word/media/image6.svg" ContentType="image/svg+xml"/>
  <Override PartName="/word/media/image8.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C3D12">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jc w:val="center"/>
        <w:textAlignment w:val="auto"/>
        <w:rPr>
          <w:rFonts w:hint="eastAsia" w:ascii="微软雅黑" w:hAnsi="微软雅黑" w:eastAsia="微软雅黑" w:cs="微软雅黑"/>
          <w:b/>
          <w:color w:val="2F5597" w:themeColor="accent5" w:themeShade="BF"/>
          <w:w w:val="95"/>
          <w:sz w:val="44"/>
          <w:szCs w:val="44"/>
          <w:lang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pPr>
      <w:r>
        <w:rPr>
          <w:rFonts w:hint="eastAsia" w:ascii="微软雅黑" w:hAnsi="微软雅黑" w:eastAsia="微软雅黑" w:cs="微软雅黑"/>
          <w:b/>
          <w:color w:val="2F5597" w:themeColor="accent5" w:themeShade="BF"/>
          <w:w w:val="95"/>
          <w:sz w:val="44"/>
          <w:szCs w:val="44"/>
          <w:lang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t>物联网时代下的智能化仓储及物流管理</w:t>
      </w:r>
    </w:p>
    <w:p w14:paraId="265AB689">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课程安排</w:t>
      </w:r>
    </w:p>
    <w:p w14:paraId="2149C026">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2025年04月17-18日 上海    2025年10月29-30日 苏州</w:t>
      </w:r>
    </w:p>
    <w:p w14:paraId="75E72C90">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default"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课程费用</w:t>
      </w:r>
    </w:p>
    <w:p w14:paraId="2B3B2C86">
      <w:pPr>
        <w:keepNext w:val="0"/>
        <w:keepLines w:val="0"/>
        <w:pageBreakBefore w:val="0"/>
        <w:widowControl w:val="0"/>
        <w:kinsoku/>
        <w:wordWrap/>
        <w:overflowPunct/>
        <w:topLinePunct w:val="0"/>
        <w:autoSpaceDE/>
        <w:autoSpaceDN/>
        <w:bidi w:val="0"/>
        <w:adjustRightInd/>
        <w:snapToGrid/>
        <w:spacing w:after="157" w:afterLines="50" w:line="360" w:lineRule="exact"/>
        <w:ind w:right="166" w:rightChars="79"/>
        <w:textAlignment w:val="auto"/>
        <w:rPr>
          <w:rFonts w:hint="eastAsia" w:ascii="微软雅黑" w:hAnsi="微软雅黑" w:eastAsia="微软雅黑" w:cs="微软雅黑"/>
          <w:b w:val="0"/>
          <w:bCs w:val="0"/>
          <w:color w:val="000000"/>
          <w:szCs w:val="21"/>
        </w:rPr>
      </w:pPr>
      <w:r>
        <w:rPr>
          <w:rFonts w:hint="eastAsia" w:ascii="微软雅黑" w:hAnsi="微软雅黑" w:eastAsia="微软雅黑" w:cs="微软雅黑"/>
          <w:b w:val="0"/>
          <w:bCs w:val="0"/>
          <w:color w:val="000000"/>
          <w:szCs w:val="21"/>
        </w:rPr>
        <w:t>￥</w:t>
      </w:r>
      <w:r>
        <w:rPr>
          <w:rFonts w:hint="eastAsia" w:ascii="微软雅黑" w:hAnsi="微软雅黑" w:eastAsia="微软雅黑" w:cs="微软雅黑"/>
          <w:b w:val="0"/>
          <w:bCs w:val="0"/>
          <w:color w:val="000000"/>
          <w:szCs w:val="21"/>
          <w:lang w:val="en-US" w:eastAsia="zh-CN"/>
        </w:rPr>
        <w:t>5,0</w:t>
      </w:r>
      <w:r>
        <w:rPr>
          <w:rFonts w:hint="eastAsia" w:ascii="微软雅黑" w:hAnsi="微软雅黑" w:eastAsia="微软雅黑" w:cs="微软雅黑"/>
          <w:b w:val="0"/>
          <w:bCs w:val="0"/>
          <w:color w:val="000000"/>
          <w:szCs w:val="21"/>
        </w:rPr>
        <w:t>00/人（</w:t>
      </w:r>
      <w:r>
        <w:rPr>
          <w:rFonts w:hint="eastAsia" w:ascii="微软雅黑" w:hAnsi="微软雅黑" w:eastAsia="微软雅黑" w:cs="微软雅黑"/>
          <w:b w:val="0"/>
          <w:bCs w:val="0"/>
          <w:color w:val="000000"/>
          <w:kern w:val="2"/>
        </w:rPr>
        <w:t>含授课费、证书费、资料费、午餐</w:t>
      </w:r>
      <w:bookmarkStart w:id="5" w:name="_GoBack"/>
      <w:bookmarkEnd w:id="5"/>
      <w:r>
        <w:rPr>
          <w:rFonts w:hint="eastAsia" w:ascii="微软雅黑" w:hAnsi="微软雅黑" w:eastAsia="微软雅黑" w:cs="微软雅黑"/>
          <w:b w:val="0"/>
          <w:bCs w:val="0"/>
          <w:color w:val="000000"/>
          <w:kern w:val="2"/>
        </w:rPr>
        <w:t>费、茶点费、会务费、税费</w:t>
      </w:r>
      <w:r>
        <w:rPr>
          <w:rFonts w:hint="eastAsia" w:ascii="微软雅黑" w:hAnsi="微软雅黑" w:eastAsia="微软雅黑" w:cs="微软雅黑"/>
          <w:b w:val="0"/>
          <w:bCs w:val="0"/>
          <w:color w:val="000000"/>
          <w:szCs w:val="21"/>
        </w:rPr>
        <w:t>）</w:t>
      </w:r>
    </w:p>
    <w:p w14:paraId="6C1C534F">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sectPr>
          <w:headerReference r:id="rId3" w:type="default"/>
          <w:footerReference r:id="rId4" w:type="default"/>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课程背景</w:t>
      </w:r>
    </w:p>
    <w:p w14:paraId="1CBC6DE5">
      <w:pPr>
        <w:pStyle w:val="16"/>
        <w:keepNext w:val="0"/>
        <w:keepLines w:val="0"/>
        <w:pageBreakBefore w:val="0"/>
        <w:widowControl w:val="0"/>
        <w:kinsoku/>
        <w:wordWrap/>
        <w:overflowPunct/>
        <w:topLinePunct w:val="0"/>
        <w:autoSpaceDE/>
        <w:autoSpaceDN/>
        <w:bidi w:val="0"/>
        <w:adjustRightInd/>
        <w:snapToGrid/>
        <w:spacing w:after="157" w:afterLines="50" w:line="360" w:lineRule="exact"/>
        <w:ind w:firstLine="0" w:firstLineChars="0"/>
        <w:textAlignment w:val="auto"/>
        <w:rPr>
          <w:rStyle w:val="11"/>
          <w:rFonts w:ascii="Times New Roman" w:hAnsi="微软雅黑" w:eastAsia="微软雅黑"/>
          <w:b w:val="0"/>
          <w:sz w:val="21"/>
          <w:szCs w:val="21"/>
        </w:rPr>
      </w:pPr>
      <w:r>
        <w:rPr>
          <w:rStyle w:val="11"/>
          <w:rFonts w:hint="eastAsia" w:ascii="Times New Roman" w:hAnsi="微软雅黑" w:eastAsia="微软雅黑"/>
          <w:b w:val="0"/>
          <w:sz w:val="21"/>
          <w:szCs w:val="21"/>
        </w:rPr>
        <w:t>全球制造业智能化成为国家战略竞争的新焦点，作为智能制造的重要组成部分，工厂智能物流将采用全新的体系和技术构建。通过系统讲授智能工厂以及智能物流的组成以及实施，让学员对智能工厂有完整、正确的理解，再参</w:t>
      </w:r>
      <w:r>
        <w:rPr>
          <w:rStyle w:val="11"/>
          <w:rFonts w:hint="eastAsia" w:hAnsi="微软雅黑" w:eastAsia="微软雅黑"/>
          <w:b w:val="0"/>
          <w:sz w:val="21"/>
          <w:szCs w:val="21"/>
          <w:lang w:eastAsia="zh-CN"/>
        </w:rPr>
        <w:t>照</w:t>
      </w:r>
      <w:r>
        <w:rPr>
          <w:rStyle w:val="11"/>
          <w:rFonts w:hint="eastAsia" w:ascii="Times New Roman" w:hAnsi="微软雅黑" w:eastAsia="微软雅黑"/>
          <w:b w:val="0"/>
          <w:sz w:val="21"/>
          <w:szCs w:val="21"/>
        </w:rPr>
        <w:t>实景化标杆智能工厂的实践，可以在短时间内理解智能工厂的系统组成与主要技术，将会帮助国内制造业同仁拓展思路，梳理方法，打造有自己特色的工厂智能物流体系。</w:t>
      </w:r>
    </w:p>
    <w:p w14:paraId="107B5AA4">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课程对象</w:t>
      </w:r>
    </w:p>
    <w:p w14:paraId="34F84082">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szCs w:val="21"/>
        </w:rPr>
      </w:pPr>
      <w:r>
        <w:rPr>
          <w:rFonts w:hint="eastAsia" w:ascii="微软雅黑" w:hAnsi="微软雅黑" w:eastAsia="微软雅黑" w:cs="Arial"/>
          <w:color w:val="000000"/>
          <w:sz w:val="18"/>
          <w:szCs w:val="18"/>
        </w:rPr>
        <w:t>制造型企业总经理、高管团队、运营总裁、厂长以及运营经理，企业生产、物流管理人员，物流改善项目团队等。</w:t>
      </w:r>
    </w:p>
    <w:p w14:paraId="3DDC6A95">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课程收益</w:t>
      </w:r>
    </w:p>
    <w:p w14:paraId="2E70C499">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Style w:val="11"/>
          <w:rFonts w:hAnsi="微软雅黑" w:eastAsia="微软雅黑"/>
          <w:b w:val="0"/>
          <w:kern w:val="0"/>
          <w:szCs w:val="21"/>
        </w:rPr>
      </w:pPr>
      <w:r>
        <w:rPr>
          <w:rStyle w:val="11"/>
          <w:rFonts w:hint="eastAsia" w:hAnsi="微软雅黑" w:eastAsia="微软雅黑"/>
          <w:b w:val="0"/>
          <w:kern w:val="0"/>
          <w:szCs w:val="21"/>
        </w:rPr>
        <w:t>通过课堂学习和现场参观、交流等形式，学员可以深刻理解智能物流的系统组成关与架构，掌握智能物流的主要规划方法，熟悉主要设备使用场景，掌握智能物流实施路径。</w:t>
      </w:r>
    </w:p>
    <w:p w14:paraId="7316AD29">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授课形式</w:t>
      </w:r>
    </w:p>
    <w:p w14:paraId="1637852F">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szCs w:val="21"/>
        </w:rPr>
      </w:pPr>
      <w:r>
        <w:rPr>
          <w:rFonts w:eastAsia="微软雅黑"/>
          <w:szCs w:val="20"/>
        </w:rPr>
        <w:t>知识讲解、案例分析讨论、角色演练、小组讨论、互动交流、游戏感悟、头脑风暴、强调学员参与。</w:t>
      </w:r>
    </w:p>
    <w:p w14:paraId="55BC395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360" w:lineRule="exact"/>
        <w:textAlignment w:val="auto"/>
        <w:rPr>
          <w:rFonts w:hint="eastAsia" w:ascii="微软雅黑" w:hAnsi="微软雅黑" w:eastAsia="微软雅黑" w:cs="微软雅黑"/>
          <w:b/>
          <w:color w:val="000000" w:themeColor="text1"/>
          <w14:textFill>
            <w14:solidFill>
              <w14:schemeClr w14:val="tx1"/>
            </w14:solidFill>
          </w14:textFill>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课程大纲</w: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p>
    <w:p w14:paraId="05BF1AD9">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Style w:val="11"/>
          <w:rFonts w:eastAsia="微软雅黑"/>
          <w:color w:val="000000"/>
          <w:sz w:val="24"/>
          <w:szCs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-476250</wp:posOffset>
                </wp:positionH>
                <wp:positionV relativeFrom="paragraph">
                  <wp:posOffset>328295</wp:posOffset>
                </wp:positionV>
                <wp:extent cx="6191250" cy="0"/>
                <wp:effectExtent l="0" t="0" r="0" b="0"/>
                <wp:wrapNone/>
                <wp:docPr id="4" name="直接连接符 4"/>
                <wp:cNvGraphicFramePr/>
                <a:graphic xmlns:a="http://schemas.openxmlformats.org/drawingml/2006/main">
                  <a:graphicData uri="http://schemas.microsoft.com/office/word/2010/wordprocessingShape">
                    <wps:wsp>
                      <wps:cNvCnPr/>
                      <wps:spPr>
                        <a:xfrm>
                          <a:off x="689610" y="7998460"/>
                          <a:ext cx="6191250"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5pt;margin-top:25.85pt;height:0pt;width:487.5pt;z-index:251670528;mso-width-relative:page;mso-height-relative:page;" filled="f" stroked="t" coordsize="21600,21600" o:gfxdata="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CMiB3WAAAACQEAAA8AAAAA&#10;AAAAAQAgAAAAIgAAAGRycy9kb3ducmV2LnhtbFBLAQIUABQAAAAIAIdO4kDlwTokiAIAAMUFAAAO&#10;AAAAAAAAAAEAIAAAACUBAABkcnMvZTJvRG9jLnhtbFBLBQYAAAAABgAGAFkBAAAfBgAAAAA=&#10;">
                <v:fill on="f" focussize="0,0"/>
                <v:stroke weight="0.5pt" color="#000000" miterlimit="8" joinstyle="miter"/>
                <v:imagedata o:title=""/>
                <o:lock v:ext="edit" aspectratio="f"/>
              </v:line>
            </w:pict>
          </mc:Fallback>
        </mc:AlternateContent>
      </w:r>
      <w:r>
        <w:rPr>
          <w:rStyle w:val="11"/>
          <w:rFonts w:hAnsi="微软雅黑" w:eastAsia="微软雅黑"/>
          <w:color w:val="000000"/>
          <w:sz w:val="24"/>
          <w:szCs w:val="24"/>
        </w:rPr>
        <w:drawing>
          <wp:anchor distT="0" distB="0" distL="114300" distR="114300" simplePos="0" relativeHeight="251667456" behindDoc="0" locked="0" layoutInCell="1" allowOverlap="1">
            <wp:simplePos x="0" y="0"/>
            <wp:positionH relativeFrom="column">
              <wp:posOffset>22860</wp:posOffset>
            </wp:positionH>
            <wp:positionV relativeFrom="paragraph">
              <wp:posOffset>2540</wp:posOffset>
            </wp:positionV>
            <wp:extent cx="327025" cy="281940"/>
            <wp:effectExtent l="0" t="0" r="15875" b="3810"/>
            <wp:wrapSquare wrapText="bothSides"/>
            <wp:docPr id="1" name="图片 1" descr="303b32303031303331383bcae9b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3b32303031303331383bcae9bcae"/>
                    <pic:cNvPicPr>
                      <a:picLocks noChangeAspect="1"/>
                    </pic:cNvPicPr>
                  </pic:nvPicPr>
                  <pic:blipFill>
                    <a:blip r:embed="rId6">
                      <a:extLst>
                        <a:ext uri="{96DAC541-7B7A-43D3-8B79-37D633B846F1}">
                          <asvg:svgBlip xmlns:asvg="http://schemas.microsoft.com/office/drawing/2016/SVG/main" r:embed="rId7"/>
                        </a:ext>
                      </a:extLst>
                    </a:blip>
                    <a:srcRect l="12917" t="16875" r="12083" b="18542"/>
                    <a:stretch>
                      <a:fillRect/>
                    </a:stretch>
                  </pic:blipFill>
                  <pic:spPr>
                    <a:xfrm>
                      <a:off x="0" y="0"/>
                      <a:ext cx="327025" cy="281940"/>
                    </a:xfrm>
                    <a:prstGeom prst="rect">
                      <a:avLst/>
                    </a:prstGeom>
                  </pic:spPr>
                </pic:pic>
              </a:graphicData>
            </a:graphic>
          </wp:anchor>
        </w:drawing>
      </w:r>
      <w:r>
        <w:rPr>
          <w:rStyle w:val="11"/>
          <w:rFonts w:hAnsi="微软雅黑" w:eastAsia="微软雅黑"/>
          <w:color w:val="000000"/>
          <w:sz w:val="24"/>
          <w:szCs w:val="24"/>
        </w:rPr>
        <w:t>一</w:t>
      </w:r>
      <w:r>
        <w:rPr>
          <w:rStyle w:val="11"/>
          <w:rFonts w:hint="eastAsia" w:hAnsi="微软雅黑" w:eastAsia="微软雅黑"/>
          <w:color w:val="000000"/>
          <w:sz w:val="24"/>
          <w:szCs w:val="24"/>
          <w:lang w:eastAsia="zh-CN"/>
        </w:rPr>
        <w:t>、</w:t>
      </w:r>
      <w:r>
        <w:rPr>
          <w:rStyle w:val="11"/>
          <w:rFonts w:hAnsi="微软雅黑" w:eastAsia="微软雅黑"/>
          <w:color w:val="000000"/>
          <w:sz w:val="24"/>
          <w:szCs w:val="24"/>
        </w:rPr>
        <w:t>智能制造与智能物流</w:t>
      </w:r>
    </w:p>
    <w:p w14:paraId="48A4F490">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val="0"/>
          <w:color w:val="0070C0"/>
          <w:szCs w:val="21"/>
        </w:rPr>
      </w:pPr>
      <w:r>
        <w:rPr>
          <w:rFonts w:hint="eastAsia" w:ascii="微软雅黑" w:hAnsi="微软雅黑" w:eastAsia="微软雅黑" w:cs="微软雅黑"/>
          <w:b/>
          <w:bCs w:val="0"/>
          <w:color w:val="0070C0"/>
          <w:szCs w:val="21"/>
        </w:rPr>
        <w:t>■</w:t>
      </w:r>
      <w:r>
        <w:rPr>
          <w:rFonts w:hint="eastAsia" w:hAnsi="微软雅黑" w:eastAsia="微软雅黑"/>
          <w:b/>
          <w:bCs w:val="0"/>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工业4.0与中国制造2025的区别</w:t>
      </w:r>
    </w:p>
    <w:p w14:paraId="5947ADA0">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val="0"/>
          <w:color w:val="0070C0"/>
          <w:szCs w:val="21"/>
        </w:rPr>
      </w:pPr>
      <w:r>
        <w:rPr>
          <w:rFonts w:hint="eastAsia" w:ascii="微软雅黑" w:hAnsi="微软雅黑" w:eastAsia="微软雅黑" w:cs="微软雅黑"/>
          <w:b/>
          <w:bCs w:val="0"/>
          <w:color w:val="0070C0"/>
          <w:szCs w:val="21"/>
        </w:rPr>
        <w:t>■</w:t>
      </w:r>
      <w:r>
        <w:rPr>
          <w:rFonts w:hint="eastAsia" w:hAnsi="微软雅黑" w:eastAsia="微软雅黑"/>
          <w:b/>
          <w:bCs w:val="0"/>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智能制造的核心：仍然是QCD</w:t>
      </w:r>
    </w:p>
    <w:p w14:paraId="495FC6EE">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ascii="微软雅黑" w:hAnsi="微软雅黑" w:eastAsia="微软雅黑" w:cs="微软雅黑"/>
          <w:b/>
          <w:bCs w:val="0"/>
          <w:color w:val="0070C0"/>
          <w:szCs w:val="21"/>
        </w:rPr>
        <w:t>■</w:t>
      </w:r>
      <w:r>
        <w:rPr>
          <w:rFonts w:hint="eastAsia" w:hAnsi="微软雅黑" w:eastAsia="微软雅黑"/>
          <w:b/>
          <w:bCs w:val="0"/>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CPS——智能工厂的核心技术体系</w:t>
      </w:r>
    </w:p>
    <w:p w14:paraId="544BF6BE">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val="0"/>
          <w:color w:val="0070C0"/>
          <w:szCs w:val="21"/>
        </w:rPr>
      </w:pPr>
      <w:r>
        <w:rPr>
          <w:rFonts w:hint="eastAsia" w:ascii="微软雅黑" w:hAnsi="微软雅黑" w:eastAsia="微软雅黑" w:cs="微软雅黑"/>
          <w:b/>
          <w:bCs w:val="0"/>
          <w:color w:val="0070C0"/>
          <w:szCs w:val="21"/>
        </w:rPr>
        <w:t>■</w:t>
      </w:r>
      <w:r>
        <w:rPr>
          <w:rFonts w:hint="eastAsia" w:hAnsi="微软雅黑" w:eastAsia="微软雅黑"/>
          <w:b/>
          <w:bCs w:val="0"/>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工厂智能物流：端到端的管理与技术</w:t>
      </w:r>
    </w:p>
    <w:p w14:paraId="08DB57C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157" w:afterLines="50" w:line="360" w:lineRule="exact"/>
        <w:textAlignment w:val="auto"/>
        <w:rPr>
          <w:rFonts w:hAnsi="微软雅黑" w:eastAsia="微软雅黑"/>
          <w:b/>
          <w:bCs w:val="0"/>
          <w:color w:val="0070C0"/>
          <w:szCs w:val="21"/>
        </w:rPr>
      </w:pPr>
      <w:r>
        <w:rPr>
          <w:rFonts w:hint="eastAsia" w:ascii="微软雅黑" w:hAnsi="微软雅黑" w:eastAsia="微软雅黑" w:cs="微软雅黑"/>
          <w:b/>
          <w:bCs w:val="0"/>
          <w:color w:val="0070C0"/>
          <w:szCs w:val="21"/>
        </w:rPr>
        <w:t>■</w:t>
      </w:r>
      <w:r>
        <w:rPr>
          <w:rFonts w:hint="eastAsia" w:hAnsi="微软雅黑" w:eastAsia="微软雅黑"/>
          <w:b/>
          <w:bCs w:val="0"/>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工厂智能物流的实施阶段：精益化、自动化、数字化、智能化</w:t>
      </w:r>
    </w:p>
    <w:p w14:paraId="0631417B">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Style w:val="11"/>
          <w:rFonts w:ascii="Times New Roman" w:hAnsi="微软雅黑" w:eastAsia="微软雅黑" w:cs="Times New Roman"/>
          <w:color w:val="000000"/>
          <w:sz w:val="24"/>
          <w:szCs w:val="24"/>
        </w:rPr>
      </w:pPr>
      <w:r>
        <w:rPr>
          <w:rStyle w:val="11"/>
          <w:rFonts w:hAnsi="微软雅黑" w:eastAsia="微软雅黑"/>
          <w:color w:val="000000"/>
          <w:sz w:val="24"/>
          <w:szCs w:val="24"/>
        </w:rPr>
        <w:drawing>
          <wp:anchor distT="0" distB="0" distL="114300" distR="114300" simplePos="0" relativeHeight="251669504" behindDoc="0" locked="0" layoutInCell="1" allowOverlap="1">
            <wp:simplePos x="0" y="0"/>
            <wp:positionH relativeFrom="column">
              <wp:posOffset>13335</wp:posOffset>
            </wp:positionH>
            <wp:positionV relativeFrom="paragraph">
              <wp:posOffset>15240</wp:posOffset>
            </wp:positionV>
            <wp:extent cx="327025" cy="281940"/>
            <wp:effectExtent l="0" t="0" r="15875" b="3810"/>
            <wp:wrapSquare wrapText="bothSides"/>
            <wp:docPr id="2" name="图片 2" descr="303b32303031303331383bcae9b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3b32303031303331383bcae9bcae"/>
                    <pic:cNvPicPr>
                      <a:picLocks noChangeAspect="1"/>
                    </pic:cNvPicPr>
                  </pic:nvPicPr>
                  <pic:blipFill>
                    <a:blip r:embed="rId8">
                      <a:extLst>
                        <a:ext uri="{96DAC541-7B7A-43D3-8B79-37D633B846F1}">
                          <asvg:svgBlip xmlns:asvg="http://schemas.microsoft.com/office/drawing/2016/SVG/main" r:embed="rId9"/>
                        </a:ext>
                      </a:extLst>
                    </a:blip>
                    <a:srcRect l="12917" t="16875" r="12083" b="18542"/>
                    <a:stretch>
                      <a:fillRect/>
                    </a:stretch>
                  </pic:blipFill>
                  <pic:spPr>
                    <a:xfrm>
                      <a:off x="0" y="0"/>
                      <a:ext cx="327025" cy="281940"/>
                    </a:xfrm>
                    <a:prstGeom prst="rect">
                      <a:avLst/>
                    </a:prstGeom>
                  </pic:spPr>
                </pic:pic>
              </a:graphicData>
            </a:graphic>
          </wp:anchor>
        </w:drawing>
      </w:r>
      <w:r>
        <w:rPr>
          <w:rStyle w:val="11"/>
          <w:rFonts w:ascii="Times New Roman" w:hAnsi="微软雅黑" w:eastAsia="微软雅黑" w:cs="Times New Roman"/>
          <w:color w:val="000000"/>
          <w:sz w:val="24"/>
          <w:szCs w:val="24"/>
        </w:rPr>
        <w:t>二</w:t>
      </w:r>
      <w:r>
        <w:rPr>
          <w:rStyle w:val="11"/>
          <w:rFonts w:hint="eastAsia" w:hAnsi="微软雅黑" w:eastAsia="微软雅黑" w:cs="Times New Roman"/>
          <w:color w:val="000000"/>
          <w:sz w:val="24"/>
          <w:szCs w:val="24"/>
          <w:lang w:eastAsia="zh-CN"/>
        </w:rPr>
        <w:t>、</w:t>
      </w:r>
      <w:r>
        <w:rPr>
          <w:rStyle w:val="11"/>
          <w:rFonts w:ascii="Times New Roman" w:hAnsi="微软雅黑" w:eastAsia="微软雅黑" w:cs="Times New Roman"/>
          <w:color w:val="000000"/>
          <w:sz w:val="24"/>
          <w:szCs w:val="24"/>
        </w:rPr>
        <w:t>工厂智能物流的规划</w:t>
      </w:r>
    </w:p>
    <w:p w14:paraId="2D6363C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Style w:val="11"/>
          <w:rFonts w:hint="eastAsia" w:ascii="微软雅黑" w:hAnsi="微软雅黑" w:eastAsia="微软雅黑" w:cs="微软雅黑"/>
          <w:b w:val="0"/>
          <w:kern w:val="2"/>
          <w:sz w:val="21"/>
          <w:szCs w:val="21"/>
          <w:lang w:val="en-US" w:eastAsia="zh-CN" w:bidi="ar-SA"/>
        </w:rPr>
      </w:pPr>
      <w:r>
        <w:rPr>
          <w:b/>
          <w:bCs/>
          <w:color w:val="0070C0"/>
          <w:sz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16510</wp:posOffset>
                </wp:positionV>
                <wp:extent cx="61912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91250"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1.3pt;height:0pt;width:487.5pt;z-index:251659264;mso-width-relative:page;mso-height-relative:page;" filled="f" stroked="t" coordsize="21600,21600" o:gfxdata="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oUZmp9MAAAAGAQAADwAAAAAAAAABACAAAAAiAAAA&#10;ZHJzL2Rvd25yZXYueG1sUEsBAhQAFAAAAAgAh07iQObfa0R+AgAAugUAAA4AAAAAAAAAAQAgAAAA&#10;IgEAAGRycy9lMm9Eb2MueG1sUEsFBgAAAAAGAAYAWQEAABIGAAAAAA==&#10;">
                <v:fill on="f" focussize="0,0"/>
                <v:stroke weight="0.5pt" color="#000000" miterlimit="8" joinstyle="miter"/>
                <v:imagedata o:title=""/>
                <o:lock v:ext="edit" aspectratio="f"/>
              </v:line>
            </w:pict>
          </mc:Fallback>
        </mc:AlternateContent>
      </w:r>
      <w:r>
        <w:rPr>
          <w:rFonts w:hint="eastAsia" w:ascii="微软雅黑" w:hAnsi="微软雅黑" w:eastAsia="微软雅黑" w:cs="微软雅黑"/>
          <w:b/>
          <w:bCs/>
          <w:color w:val="0070C0"/>
          <w:szCs w:val="21"/>
        </w:rPr>
        <w:t>■</w:t>
      </w:r>
      <w:r>
        <w:rPr>
          <w:rFonts w:hint="eastAsia" w:hAnsi="微软雅黑" w:eastAsia="微软雅黑"/>
          <w:b/>
          <w:bCs/>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案例介绍：工厂物流规划的典范</w:t>
      </w:r>
    </w:p>
    <w:p w14:paraId="21ADE795">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ascii="微软雅黑" w:hAnsi="微软雅黑" w:eastAsia="微软雅黑" w:cs="微软雅黑"/>
          <w:b/>
          <w:bCs/>
          <w:color w:val="0070C0"/>
          <w:szCs w:val="21"/>
        </w:rPr>
        <w:t>■</w:t>
      </w:r>
      <w:r>
        <w:rPr>
          <w:rFonts w:hint="eastAsia" w:hAnsi="微软雅黑" w:eastAsia="微软雅黑"/>
          <w:b/>
          <w:bCs/>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工厂物流业务规划篇：端到端的思考</w:t>
      </w:r>
    </w:p>
    <w:p w14:paraId="16D29AB1">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ascii="微软雅黑" w:hAnsi="微软雅黑" w:eastAsia="微软雅黑" w:cs="微软雅黑"/>
          <w:b/>
          <w:bCs/>
          <w:color w:val="0070C0"/>
          <w:szCs w:val="21"/>
        </w:rPr>
        <w:t>■</w:t>
      </w:r>
      <w:r>
        <w:rPr>
          <w:rFonts w:hint="eastAsia" w:hAnsi="微软雅黑" w:eastAsia="微软雅黑"/>
          <w:b/>
          <w:bCs/>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案例研讨：某工厂车间物流的智能化实施</w:t>
      </w:r>
    </w:p>
    <w:p w14:paraId="07A58182">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ascii="微软雅黑" w:hAnsi="微软雅黑" w:eastAsia="微软雅黑" w:cs="微软雅黑"/>
          <w:b/>
          <w:bCs/>
          <w:color w:val="0070C0"/>
          <w:szCs w:val="21"/>
        </w:rPr>
        <w:t>■</w:t>
      </w:r>
      <w:r>
        <w:rPr>
          <w:rFonts w:hint="eastAsia" w:hAnsi="微软雅黑" w:eastAsia="微软雅黑"/>
          <w:b/>
          <w:bCs/>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物流布局规划工具篇</w:t>
      </w:r>
    </w:p>
    <w:p w14:paraId="77BA4BC3">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ind w:leftChars="100"/>
        <w:textAlignment w:val="auto"/>
        <w:rPr>
          <w:rStyle w:val="11"/>
          <w:rFonts w:hint="eastAsia" w:ascii="微软雅黑" w:hAnsi="微软雅黑" w:eastAsia="微软雅黑" w:cs="微软雅黑"/>
          <w:b w:val="0"/>
          <w:kern w:val="2"/>
          <w:sz w:val="21"/>
          <w:szCs w:val="21"/>
          <w:lang w:val="en-US" w:eastAsia="zh-CN" w:bidi="ar-SA"/>
        </w:rPr>
      </w:pPr>
      <w:r>
        <w:rPr>
          <w:rStyle w:val="11"/>
          <w:rFonts w:hint="eastAsia" w:ascii="微软雅黑" w:hAnsi="微软雅黑" w:eastAsia="微软雅黑" w:cs="微软雅黑"/>
          <w:b w:val="0"/>
          <w:kern w:val="2"/>
          <w:sz w:val="21"/>
          <w:szCs w:val="21"/>
          <w:lang w:val="en-US" w:eastAsia="zh-CN" w:bidi="ar-SA"/>
        </w:rPr>
        <w:t>经典规划工具：SLP简介</w:t>
      </w:r>
    </w:p>
    <w:p w14:paraId="5B03B88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ind w:leftChars="100"/>
        <w:textAlignment w:val="auto"/>
        <w:rPr>
          <w:rStyle w:val="11"/>
          <w:rFonts w:hint="eastAsia" w:ascii="微软雅黑" w:hAnsi="微软雅黑" w:eastAsia="微软雅黑" w:cs="微软雅黑"/>
          <w:b w:val="0"/>
          <w:kern w:val="2"/>
          <w:sz w:val="21"/>
          <w:szCs w:val="21"/>
          <w:lang w:val="en-US" w:eastAsia="zh-CN" w:bidi="ar-SA"/>
        </w:rPr>
      </w:pPr>
      <w:r>
        <w:rPr>
          <w:rStyle w:val="11"/>
          <w:rFonts w:hint="eastAsia" w:ascii="微软雅黑" w:hAnsi="微软雅黑" w:eastAsia="微软雅黑" w:cs="微软雅黑"/>
          <w:b w:val="0"/>
          <w:kern w:val="2"/>
          <w:sz w:val="21"/>
          <w:szCs w:val="21"/>
          <w:lang w:val="en-US" w:eastAsia="zh-CN" w:bidi="ar-SA"/>
        </w:rPr>
        <w:t>物流关系与面积核算</w:t>
      </w:r>
    </w:p>
    <w:p w14:paraId="4F4FB968">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ind w:leftChars="100"/>
        <w:textAlignment w:val="auto"/>
        <w:rPr>
          <w:rStyle w:val="11"/>
          <w:rFonts w:hint="eastAsia" w:ascii="微软雅黑" w:hAnsi="微软雅黑" w:eastAsia="微软雅黑" w:cs="微软雅黑"/>
          <w:b w:val="0"/>
          <w:kern w:val="2"/>
          <w:sz w:val="21"/>
          <w:szCs w:val="21"/>
          <w:lang w:val="en-US" w:eastAsia="zh-CN" w:bidi="ar-SA"/>
        </w:rPr>
      </w:pPr>
      <w:r>
        <w:rPr>
          <w:rStyle w:val="11"/>
          <w:rFonts w:hint="eastAsia" w:ascii="微软雅黑" w:hAnsi="微软雅黑" w:eastAsia="微软雅黑" w:cs="微软雅黑"/>
          <w:b w:val="0"/>
          <w:kern w:val="2"/>
          <w:sz w:val="21"/>
          <w:szCs w:val="21"/>
          <w:lang w:val="en-US" w:eastAsia="zh-CN" w:bidi="ar-SA"/>
        </w:rPr>
        <w:t>案例介绍：SLP工厂物流大布局</w:t>
      </w:r>
    </w:p>
    <w:p w14:paraId="4684697B">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ascii="微软雅黑" w:hAnsi="微软雅黑" w:eastAsia="微软雅黑" w:cs="微软雅黑"/>
          <w:b/>
          <w:bCs/>
          <w:color w:val="0070C0"/>
          <w:szCs w:val="21"/>
        </w:rPr>
        <w:t>■</w:t>
      </w:r>
      <w:r>
        <w:rPr>
          <w:rFonts w:hint="eastAsia" w:hAnsi="微软雅黑" w:eastAsia="微软雅黑"/>
          <w:b/>
          <w:bCs/>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规划仿真篇</w:t>
      </w:r>
    </w:p>
    <w:p w14:paraId="7C4F0683">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ind w:leftChars="100"/>
        <w:textAlignment w:val="auto"/>
        <w:rPr>
          <w:rStyle w:val="11"/>
          <w:rFonts w:hint="eastAsia" w:ascii="微软雅黑" w:hAnsi="微软雅黑" w:eastAsia="微软雅黑" w:cs="微软雅黑"/>
          <w:b w:val="0"/>
          <w:kern w:val="2"/>
          <w:sz w:val="21"/>
          <w:szCs w:val="21"/>
          <w:lang w:val="en-US" w:eastAsia="zh-CN" w:bidi="ar-SA"/>
        </w:rPr>
      </w:pPr>
      <w:r>
        <w:rPr>
          <w:rStyle w:val="11"/>
          <w:rFonts w:hint="eastAsia" w:ascii="微软雅黑" w:hAnsi="微软雅黑" w:eastAsia="微软雅黑" w:cs="微软雅黑"/>
          <w:b w:val="0"/>
          <w:kern w:val="2"/>
          <w:sz w:val="21"/>
          <w:szCs w:val="21"/>
          <w:lang w:val="en-US" w:eastAsia="zh-CN" w:bidi="ar-SA"/>
        </w:rPr>
        <w:t>主流仿真系统应用简介</w:t>
      </w:r>
    </w:p>
    <w:p w14:paraId="29F5FFC5">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ind w:leftChars="100"/>
        <w:textAlignment w:val="auto"/>
        <w:rPr>
          <w:rFonts w:ascii="Times New Roman" w:hAnsi="Times New Roman" w:eastAsia="微软雅黑"/>
          <w:color w:val="000000"/>
          <w:sz w:val="21"/>
          <w:szCs w:val="21"/>
        </w:rPr>
      </w:pPr>
      <w:r>
        <w:rPr>
          <w:rStyle w:val="11"/>
          <w:rFonts w:hint="eastAsia" w:ascii="微软雅黑" w:hAnsi="微软雅黑" w:eastAsia="微软雅黑" w:cs="微软雅黑"/>
          <w:b w:val="0"/>
          <w:kern w:val="2"/>
          <w:sz w:val="21"/>
          <w:szCs w:val="21"/>
          <w:lang w:val="en-US" w:eastAsia="zh-CN" w:bidi="ar-SA"/>
        </w:rPr>
        <w:t>主流仿真软件的介绍与演示</w:t>
      </w:r>
    </w:p>
    <w:p w14:paraId="2B14E834">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Style w:val="11"/>
          <w:rFonts w:ascii="Times New Roman" w:hAnsi="微软雅黑" w:eastAsia="微软雅黑" w:cs="Times New Roman"/>
          <w:color w:val="000000"/>
          <w:sz w:val="24"/>
          <w:szCs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-476250</wp:posOffset>
                </wp:positionH>
                <wp:positionV relativeFrom="paragraph">
                  <wp:posOffset>328295</wp:posOffset>
                </wp:positionV>
                <wp:extent cx="619125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191250"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5pt;margin-top:25.85pt;height:0pt;width:487.5pt;z-index:251661312;mso-width-relative:page;mso-height-relative:page;" filled="f" stroked="t" coordsize="21600,21600" o:gfxdata="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gIyIHdYAAAAJAQAADwAAAAAAAAABACAAAAAi&#10;AAAAZHJzL2Rvd25yZXYueG1sUEsBAhQAFAAAAAgAh07iQN+E6CF+AgAAugUAAA4AAAAAAAAAAQAg&#10;AAAAJQEAAGRycy9lMm9Eb2MueG1sUEsFBgAAAAAGAAYAWQEAABUGAAAAAA==&#10;">
                <v:fill on="f" focussize="0,0"/>
                <v:stroke weight="0.5pt" color="#000000" miterlimit="8" joinstyle="miter"/>
                <v:imagedata o:title=""/>
                <o:lock v:ext="edit" aspectratio="f"/>
              </v:line>
            </w:pict>
          </mc:Fallback>
        </mc:AlternateContent>
      </w:r>
      <w:r>
        <w:rPr>
          <w:rStyle w:val="11"/>
          <w:rFonts w:hAnsi="微软雅黑" w:eastAsia="微软雅黑"/>
          <w:color w:val="000000"/>
          <w:sz w:val="24"/>
          <w:szCs w:val="24"/>
        </w:rPr>
        <w:drawing>
          <wp:anchor distT="0" distB="0" distL="114300" distR="114300" simplePos="0" relativeHeight="251668480" behindDoc="0" locked="0" layoutInCell="1" allowOverlap="1">
            <wp:simplePos x="0" y="0"/>
            <wp:positionH relativeFrom="column">
              <wp:posOffset>-5715</wp:posOffset>
            </wp:positionH>
            <wp:positionV relativeFrom="paragraph">
              <wp:posOffset>6350</wp:posOffset>
            </wp:positionV>
            <wp:extent cx="327025" cy="281940"/>
            <wp:effectExtent l="0" t="0" r="15875" b="3810"/>
            <wp:wrapSquare wrapText="bothSides"/>
            <wp:docPr id="8" name="图片 8" descr="303b32303031303331383bcae9b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03b32303031303331383bcae9bcae"/>
                    <pic:cNvPicPr>
                      <a:picLocks noChangeAspect="1"/>
                    </pic:cNvPicPr>
                  </pic:nvPicPr>
                  <pic:blipFill>
                    <a:blip r:embed="rId8">
                      <a:extLst>
                        <a:ext uri="{96DAC541-7B7A-43D3-8B79-37D633B846F1}">
                          <asvg:svgBlip xmlns:asvg="http://schemas.microsoft.com/office/drawing/2016/SVG/main" r:embed="rId9"/>
                        </a:ext>
                      </a:extLst>
                    </a:blip>
                    <a:srcRect l="12917" t="16875" r="12083" b="18542"/>
                    <a:stretch>
                      <a:fillRect/>
                    </a:stretch>
                  </pic:blipFill>
                  <pic:spPr>
                    <a:xfrm>
                      <a:off x="0" y="0"/>
                      <a:ext cx="327025" cy="281940"/>
                    </a:xfrm>
                    <a:prstGeom prst="rect">
                      <a:avLst/>
                    </a:prstGeom>
                  </pic:spPr>
                </pic:pic>
              </a:graphicData>
            </a:graphic>
          </wp:anchor>
        </w:drawing>
      </w:r>
      <w:r>
        <w:rPr>
          <w:rStyle w:val="11"/>
          <w:rFonts w:hint="eastAsia" w:hAnsi="微软雅黑" w:eastAsia="微软雅黑"/>
          <w:color w:val="000000"/>
          <w:sz w:val="24"/>
          <w:szCs w:val="24"/>
          <w:lang w:eastAsia="zh-CN"/>
        </w:rPr>
        <w:t>三、</w:t>
      </w:r>
      <w:r>
        <w:rPr>
          <w:rStyle w:val="11"/>
          <w:rFonts w:ascii="Times New Roman" w:hAnsi="微软雅黑" w:eastAsia="微软雅黑" w:cs="Times New Roman"/>
          <w:color w:val="000000"/>
          <w:sz w:val="24"/>
          <w:szCs w:val="24"/>
        </w:rPr>
        <w:t>工厂智能物流的实施</w:t>
      </w:r>
    </w:p>
    <w:p w14:paraId="1A2024FB">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hAnsi="微软雅黑" w:eastAsia="微软雅黑"/>
          <w:b/>
          <w:bCs w:val="0"/>
          <w:color w:val="0070C0"/>
          <w:szCs w:val="21"/>
        </w:rPr>
        <w:t>■</w:t>
      </w:r>
      <w:r>
        <w:rPr>
          <w:rFonts w:hint="eastAsia" w:hAnsi="微软雅黑" w:eastAsia="微软雅黑"/>
          <w:b/>
          <w:bCs w:val="0"/>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工厂智能物流实施细则全图：从精益化到智能化</w:t>
      </w:r>
    </w:p>
    <w:p w14:paraId="5CD7F580">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hAnsi="微软雅黑" w:eastAsia="微软雅黑"/>
          <w:b/>
          <w:bCs w:val="0"/>
          <w:color w:val="0070C0"/>
          <w:szCs w:val="21"/>
        </w:rPr>
        <w:t>■</w:t>
      </w:r>
      <w:r>
        <w:rPr>
          <w:rFonts w:hint="eastAsia" w:hAnsi="微软雅黑" w:eastAsia="微软雅黑"/>
          <w:b/>
          <w:bCs w:val="0"/>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整体方案篇：浙江某注塑工厂智能物流项目介绍</w:t>
      </w:r>
    </w:p>
    <w:p w14:paraId="548D75E0">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ind w:leftChars="100"/>
        <w:textAlignment w:val="auto"/>
        <w:rPr>
          <w:rStyle w:val="11"/>
          <w:rFonts w:hint="eastAsia" w:ascii="微软雅黑" w:hAnsi="微软雅黑" w:eastAsia="微软雅黑" w:cs="微软雅黑"/>
          <w:b w:val="0"/>
          <w:kern w:val="2"/>
          <w:sz w:val="21"/>
          <w:szCs w:val="21"/>
          <w:lang w:val="en-US" w:eastAsia="zh-CN" w:bidi="ar-SA"/>
        </w:rPr>
      </w:pPr>
      <w:r>
        <w:rPr>
          <w:rStyle w:val="11"/>
          <w:rFonts w:hint="eastAsia" w:ascii="微软雅黑" w:hAnsi="微软雅黑" w:eastAsia="微软雅黑" w:cs="微软雅黑"/>
          <w:b w:val="0"/>
          <w:kern w:val="2"/>
          <w:sz w:val="21"/>
          <w:szCs w:val="21"/>
          <w:lang w:val="en-US" w:eastAsia="zh-CN" w:bidi="ar-SA"/>
        </w:rPr>
        <w:t>项目范围与目标</w:t>
      </w:r>
    </w:p>
    <w:p w14:paraId="2FD1D7F0">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hAnsi="微软雅黑" w:eastAsia="微软雅黑"/>
          <w:b/>
          <w:bCs w:val="0"/>
          <w:color w:val="0070C0"/>
          <w:szCs w:val="21"/>
        </w:rPr>
        <w:t>■</w:t>
      </w:r>
      <w:r>
        <w:rPr>
          <w:rFonts w:hint="eastAsia" w:hAnsi="微软雅黑" w:eastAsia="微软雅黑"/>
          <w:b/>
          <w:bCs w:val="0"/>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工厂整体物流规划</w:t>
      </w:r>
    </w:p>
    <w:p w14:paraId="565D6DAD">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ind w:leftChars="100"/>
        <w:textAlignment w:val="auto"/>
        <w:rPr>
          <w:rStyle w:val="11"/>
          <w:rFonts w:hint="eastAsia" w:ascii="微软雅黑" w:hAnsi="微软雅黑" w:eastAsia="微软雅黑" w:cs="微软雅黑"/>
          <w:b w:val="0"/>
          <w:kern w:val="2"/>
          <w:sz w:val="21"/>
          <w:szCs w:val="21"/>
          <w:lang w:val="en-US" w:eastAsia="zh-CN" w:bidi="ar-SA"/>
        </w:rPr>
      </w:pPr>
      <w:r>
        <w:rPr>
          <w:rStyle w:val="11"/>
          <w:rFonts w:hint="eastAsia" w:ascii="微软雅黑" w:hAnsi="微软雅黑" w:eastAsia="微软雅黑" w:cs="微软雅黑"/>
          <w:b w:val="0"/>
          <w:kern w:val="2"/>
          <w:sz w:val="21"/>
          <w:szCs w:val="21"/>
          <w:lang w:val="en-US" w:eastAsia="zh-CN" w:bidi="ar-SA"/>
        </w:rPr>
        <w:t>注塑与装配车间智能物流实施</w:t>
      </w:r>
    </w:p>
    <w:p w14:paraId="25AE79CA">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hAnsi="微软雅黑" w:eastAsia="微软雅黑"/>
          <w:b/>
          <w:bCs w:val="0"/>
          <w:color w:val="0070C0"/>
          <w:szCs w:val="21"/>
        </w:rPr>
        <w:t>■</w:t>
      </w:r>
      <w:r>
        <w:rPr>
          <w:rFonts w:hint="eastAsia" w:hAnsi="微软雅黑" w:eastAsia="微软雅黑"/>
          <w:b/>
          <w:bCs w:val="0"/>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线边物流篇</w:t>
      </w:r>
    </w:p>
    <w:p w14:paraId="1ED24642">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ind w:leftChars="100"/>
        <w:textAlignment w:val="auto"/>
        <w:rPr>
          <w:rStyle w:val="11"/>
          <w:rFonts w:hint="eastAsia" w:ascii="微软雅黑" w:hAnsi="微软雅黑" w:eastAsia="微软雅黑" w:cs="微软雅黑"/>
          <w:b w:val="0"/>
          <w:kern w:val="2"/>
          <w:sz w:val="21"/>
          <w:szCs w:val="21"/>
          <w:lang w:val="en-US" w:eastAsia="zh-CN" w:bidi="ar-SA"/>
        </w:rPr>
      </w:pPr>
      <w:r>
        <w:rPr>
          <w:rStyle w:val="11"/>
          <w:rFonts w:hint="eastAsia" w:ascii="微软雅黑" w:hAnsi="微软雅黑" w:eastAsia="微软雅黑" w:cs="微软雅黑"/>
          <w:b w:val="0"/>
          <w:kern w:val="2"/>
          <w:sz w:val="21"/>
          <w:szCs w:val="21"/>
          <w:lang w:val="en-US" w:eastAsia="zh-CN" w:bidi="ar-SA"/>
        </w:rPr>
        <w:t>车间工艺要求与物流实施细则</w:t>
      </w:r>
    </w:p>
    <w:p w14:paraId="3A6CC1D2">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ind w:leftChars="100"/>
        <w:textAlignment w:val="auto"/>
        <w:rPr>
          <w:rStyle w:val="11"/>
          <w:rFonts w:hint="eastAsia" w:ascii="微软雅黑" w:hAnsi="微软雅黑" w:eastAsia="微软雅黑" w:cs="微软雅黑"/>
          <w:b w:val="0"/>
          <w:kern w:val="2"/>
          <w:sz w:val="21"/>
          <w:szCs w:val="21"/>
          <w:lang w:val="en-US" w:eastAsia="zh-CN" w:bidi="ar-SA"/>
        </w:rPr>
      </w:pPr>
      <w:r>
        <w:rPr>
          <w:rStyle w:val="11"/>
          <w:rFonts w:hint="eastAsia" w:ascii="微软雅黑" w:hAnsi="微软雅黑" w:eastAsia="微软雅黑" w:cs="微软雅黑"/>
          <w:b w:val="0"/>
          <w:kern w:val="2"/>
          <w:sz w:val="21"/>
          <w:szCs w:val="21"/>
          <w:lang w:val="en-US" w:eastAsia="zh-CN" w:bidi="ar-SA"/>
        </w:rPr>
        <w:t>举例：典型工艺环境的物流设计</w:t>
      </w:r>
    </w:p>
    <w:p w14:paraId="6BEBA42E">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ind w:leftChars="100"/>
        <w:textAlignment w:val="auto"/>
        <w:rPr>
          <w:rStyle w:val="11"/>
          <w:rFonts w:hint="eastAsia" w:ascii="微软雅黑" w:hAnsi="微软雅黑" w:eastAsia="微软雅黑" w:cs="微软雅黑"/>
          <w:b w:val="0"/>
          <w:kern w:val="2"/>
          <w:sz w:val="21"/>
          <w:szCs w:val="21"/>
          <w:lang w:val="en-US" w:eastAsia="zh-CN" w:bidi="ar-SA"/>
        </w:rPr>
      </w:pPr>
      <w:r>
        <w:rPr>
          <w:rStyle w:val="11"/>
          <w:rFonts w:hint="eastAsia" w:ascii="微软雅黑" w:hAnsi="微软雅黑" w:eastAsia="微软雅黑" w:cs="微软雅黑"/>
          <w:b w:val="0"/>
          <w:kern w:val="2"/>
          <w:sz w:val="21"/>
          <w:szCs w:val="21"/>
          <w:lang w:val="en-US" w:eastAsia="zh-CN" w:bidi="ar-SA"/>
        </w:rPr>
        <w:t>精益与智能物流的结合</w:t>
      </w:r>
    </w:p>
    <w:p w14:paraId="37CA5C10">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ind w:firstLine="210" w:firstLineChars="100"/>
        <w:textAlignment w:val="auto"/>
        <w:rPr>
          <w:rStyle w:val="11"/>
          <w:rFonts w:hint="eastAsia" w:ascii="微软雅黑" w:hAnsi="微软雅黑" w:eastAsia="微软雅黑" w:cs="微软雅黑"/>
          <w:b w:val="0"/>
          <w:kern w:val="2"/>
          <w:sz w:val="21"/>
          <w:szCs w:val="21"/>
          <w:lang w:val="en-US" w:eastAsia="zh-CN" w:bidi="ar-SA"/>
        </w:rPr>
      </w:pPr>
      <w:r>
        <w:rPr>
          <w:rStyle w:val="11"/>
          <w:rFonts w:hint="eastAsia" w:ascii="微软雅黑" w:hAnsi="微软雅黑" w:eastAsia="微软雅黑" w:cs="微软雅黑"/>
          <w:b w:val="0"/>
          <w:kern w:val="2"/>
          <w:sz w:val="21"/>
          <w:szCs w:val="21"/>
          <w:lang w:val="en-US" w:eastAsia="zh-CN" w:bidi="ar-SA"/>
        </w:rPr>
        <w:t>案例研讨：不同工序线边物流设计</w:t>
      </w:r>
    </w:p>
    <w:p w14:paraId="739D8BCF">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hAnsi="微软雅黑" w:eastAsia="微软雅黑"/>
          <w:b/>
          <w:bCs w:val="0"/>
          <w:color w:val="0070C0"/>
          <w:szCs w:val="21"/>
        </w:rPr>
        <w:t>■</w:t>
      </w:r>
      <w:r>
        <w:rPr>
          <w:rFonts w:hint="eastAsia" w:hAnsi="微软雅黑" w:eastAsia="微软雅黑"/>
          <w:b/>
          <w:bCs w:val="0"/>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物流设备篇</w:t>
      </w:r>
    </w:p>
    <w:p w14:paraId="25F30646">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ind w:leftChars="100"/>
        <w:textAlignment w:val="auto"/>
        <w:rPr>
          <w:rStyle w:val="11"/>
          <w:rFonts w:hint="eastAsia" w:ascii="微软雅黑" w:hAnsi="微软雅黑" w:eastAsia="微软雅黑" w:cs="微软雅黑"/>
          <w:b w:val="0"/>
          <w:kern w:val="2"/>
          <w:sz w:val="21"/>
          <w:szCs w:val="21"/>
          <w:lang w:val="en-US" w:eastAsia="zh-CN" w:bidi="ar-SA"/>
        </w:rPr>
      </w:pPr>
      <w:r>
        <w:rPr>
          <w:rStyle w:val="11"/>
          <w:rFonts w:hint="eastAsia" w:ascii="微软雅黑" w:hAnsi="微软雅黑" w:eastAsia="微软雅黑" w:cs="微软雅黑"/>
          <w:b w:val="0"/>
          <w:kern w:val="2"/>
          <w:sz w:val="21"/>
          <w:szCs w:val="21"/>
          <w:lang w:val="en-US" w:eastAsia="zh-CN" w:bidi="ar-SA"/>
        </w:rPr>
        <w:t>条码、RFID等物流技术简介</w:t>
      </w:r>
    </w:p>
    <w:p w14:paraId="3C9178CF">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ind w:leftChars="100"/>
        <w:textAlignment w:val="auto"/>
        <w:rPr>
          <w:rStyle w:val="11"/>
          <w:rFonts w:hint="eastAsia" w:ascii="微软雅黑" w:hAnsi="微软雅黑" w:eastAsia="微软雅黑" w:cs="微软雅黑"/>
          <w:b w:val="0"/>
          <w:kern w:val="2"/>
          <w:sz w:val="21"/>
          <w:szCs w:val="21"/>
          <w:lang w:val="en-US" w:eastAsia="zh-CN" w:bidi="ar-SA"/>
        </w:rPr>
      </w:pPr>
      <w:r>
        <w:rPr>
          <w:rStyle w:val="11"/>
          <w:rFonts w:hint="eastAsia" w:ascii="微软雅黑" w:hAnsi="微软雅黑" w:eastAsia="微软雅黑" w:cs="微软雅黑"/>
          <w:b w:val="0"/>
          <w:kern w:val="2"/>
          <w:sz w:val="21"/>
          <w:szCs w:val="21"/>
          <w:lang w:val="en-US" w:eastAsia="zh-CN" w:bidi="ar-SA"/>
        </w:rPr>
        <w:t>智能物流设施简介</w:t>
      </w:r>
    </w:p>
    <w:p w14:paraId="32C6DF0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ind w:leftChars="100"/>
        <w:textAlignment w:val="auto"/>
        <w:rPr>
          <w:rStyle w:val="11"/>
          <w:rFonts w:hint="eastAsia" w:ascii="微软雅黑" w:hAnsi="微软雅黑" w:eastAsia="微软雅黑" w:cs="微软雅黑"/>
          <w:b w:val="0"/>
          <w:kern w:val="2"/>
          <w:sz w:val="21"/>
          <w:szCs w:val="21"/>
          <w:lang w:val="en-US" w:eastAsia="zh-CN" w:bidi="ar-SA"/>
        </w:rPr>
      </w:pPr>
      <w:r>
        <w:rPr>
          <w:rStyle w:val="11"/>
          <w:rFonts w:hint="eastAsia" w:ascii="微软雅黑" w:hAnsi="微软雅黑" w:eastAsia="微软雅黑" w:cs="微软雅黑"/>
          <w:b w:val="0"/>
          <w:kern w:val="2"/>
          <w:sz w:val="21"/>
          <w:szCs w:val="21"/>
          <w:lang w:val="en-US" w:eastAsia="zh-CN" w:bidi="ar-SA"/>
        </w:rPr>
        <w:t>物流机器人AGV等应用简介</w:t>
      </w:r>
    </w:p>
    <w:p w14:paraId="6310424A">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hAnsi="微软雅黑" w:eastAsia="微软雅黑"/>
          <w:b/>
          <w:bCs w:val="0"/>
          <w:color w:val="0070C0"/>
          <w:szCs w:val="21"/>
        </w:rPr>
        <w:t>■</w:t>
      </w:r>
      <w:r>
        <w:rPr>
          <w:rFonts w:hint="eastAsia" w:hAnsi="微软雅黑" w:eastAsia="微软雅黑"/>
          <w:b/>
          <w:bCs w:val="0"/>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信息系统篇</w:t>
      </w:r>
    </w:p>
    <w:p w14:paraId="3EA8B6A6">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ind w:leftChars="100"/>
        <w:textAlignment w:val="auto"/>
        <w:rPr>
          <w:rStyle w:val="11"/>
          <w:rFonts w:hint="eastAsia" w:ascii="微软雅黑" w:hAnsi="微软雅黑" w:eastAsia="微软雅黑" w:cs="微软雅黑"/>
          <w:b w:val="0"/>
          <w:kern w:val="2"/>
          <w:sz w:val="21"/>
          <w:szCs w:val="21"/>
          <w:lang w:val="en-US" w:eastAsia="zh-CN" w:bidi="ar-SA"/>
        </w:rPr>
      </w:pPr>
      <w:r>
        <w:rPr>
          <w:rStyle w:val="11"/>
          <w:rFonts w:hint="eastAsia" w:ascii="微软雅黑" w:hAnsi="微软雅黑" w:eastAsia="微软雅黑" w:cs="微软雅黑"/>
          <w:b w:val="0"/>
          <w:kern w:val="2"/>
          <w:sz w:val="21"/>
          <w:szCs w:val="21"/>
          <w:lang w:val="en-US" w:eastAsia="zh-CN" w:bidi="ar-SA"/>
        </w:rPr>
        <w:t>主要物联网IOT技术介绍</w:t>
      </w:r>
    </w:p>
    <w:p w14:paraId="1CAB028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ind w:leftChars="100"/>
        <w:textAlignment w:val="auto"/>
        <w:rPr>
          <w:rStyle w:val="11"/>
          <w:rFonts w:hint="eastAsia" w:ascii="微软雅黑" w:hAnsi="微软雅黑" w:eastAsia="微软雅黑" w:cs="微软雅黑"/>
          <w:b w:val="0"/>
          <w:kern w:val="2"/>
          <w:sz w:val="21"/>
          <w:szCs w:val="21"/>
          <w:lang w:val="en-US" w:eastAsia="zh-CN" w:bidi="ar-SA"/>
        </w:rPr>
      </w:pPr>
      <w:r>
        <w:rPr>
          <w:rStyle w:val="11"/>
          <w:rFonts w:hint="eastAsia" w:ascii="微软雅黑" w:hAnsi="微软雅黑" w:eastAsia="微软雅黑" w:cs="微软雅黑"/>
          <w:b w:val="0"/>
          <w:kern w:val="2"/>
          <w:sz w:val="21"/>
          <w:szCs w:val="21"/>
          <w:lang w:val="en-US" w:eastAsia="zh-CN" w:bidi="ar-SA"/>
        </w:rPr>
        <w:t>WMS系统介绍</w:t>
      </w:r>
    </w:p>
    <w:p w14:paraId="329107B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exact"/>
        <w:ind w:leftChars="100"/>
        <w:textAlignment w:val="auto"/>
        <w:rPr>
          <w:rStyle w:val="11"/>
          <w:rFonts w:hint="eastAsia" w:ascii="微软雅黑" w:hAnsi="微软雅黑" w:eastAsia="微软雅黑" w:cs="微软雅黑"/>
          <w:b w:val="0"/>
          <w:kern w:val="2"/>
          <w:sz w:val="21"/>
          <w:szCs w:val="21"/>
          <w:lang w:val="en-US" w:eastAsia="zh-CN" w:bidi="ar-SA"/>
        </w:rPr>
      </w:pPr>
      <w:r>
        <w:rPr>
          <w:rStyle w:val="11"/>
          <w:rFonts w:hint="eastAsia" w:ascii="微软雅黑" w:hAnsi="微软雅黑" w:eastAsia="微软雅黑" w:cs="微软雅黑"/>
          <w:b w:val="0"/>
          <w:kern w:val="2"/>
          <w:sz w:val="21"/>
          <w:szCs w:val="21"/>
          <w:lang w:val="en-US" w:eastAsia="zh-CN" w:bidi="ar-SA"/>
        </w:rPr>
        <w:t>趋势：LES系统的出现</w:t>
      </w:r>
    </w:p>
    <w:p w14:paraId="0579B0D5">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157" w:afterLines="50" w:line="360" w:lineRule="exact"/>
        <w:ind w:leftChars="100"/>
        <w:textAlignment w:val="auto"/>
        <w:rPr>
          <w:rFonts w:hAnsi="微软雅黑" w:eastAsia="微软雅黑"/>
          <w:b/>
          <w:bCs w:val="0"/>
          <w:color w:val="0070C0"/>
          <w:szCs w:val="21"/>
        </w:rPr>
      </w:pPr>
      <w:r>
        <w:rPr>
          <w:rStyle w:val="11"/>
          <w:rFonts w:hint="eastAsia" w:ascii="微软雅黑" w:hAnsi="微软雅黑" w:eastAsia="微软雅黑" w:cs="微软雅黑"/>
          <w:b w:val="0"/>
          <w:kern w:val="2"/>
          <w:sz w:val="21"/>
          <w:szCs w:val="21"/>
          <w:lang w:val="en-US" w:eastAsia="zh-CN" w:bidi="ar-SA"/>
        </w:rPr>
        <w:t>其他系统</w:t>
      </w:r>
    </w:p>
    <w:p w14:paraId="4210A50A">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讲师介绍</w:t>
      </w:r>
    </w:p>
    <w:p w14:paraId="0ADD61A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sz w:val="24"/>
          <w:szCs w:val="24"/>
          <w:lang w:eastAsia="zh-CN"/>
          <w14:shadow w14:blurRad="50800" w14:dist="38100" w14:dir="2700000" w14:sx="100000" w14:sy="100000" w14:kx="0" w14:ky="0" w14:algn="tl">
            <w14:srgbClr w14:val="000000">
              <w14:alpha w14:val="60000"/>
            </w14:srgbClr>
          </w14:shadow>
        </w:rPr>
        <w:t>李</w:t>
      </w:r>
      <w:r>
        <w:rPr>
          <w:rFonts w:hint="default" w:ascii="Times New Roman" w:hAnsi="Times New Roman" w:eastAsia="微软雅黑" w:cs="Times New Roman"/>
          <w:b/>
          <w:sz w:val="24"/>
          <w:szCs w:val="24"/>
          <w14:shadow w14:blurRad="50800" w14:dist="38100" w14:dir="2700000" w14:sx="100000" w14:sy="100000" w14:kx="0" w14:ky="0" w14:algn="tl">
            <w14:srgbClr w14:val="000000">
              <w14:alpha w14:val="60000"/>
            </w14:srgbClr>
          </w14:shadow>
        </w:rPr>
        <w:t>老师</w:t>
      </w:r>
    </w:p>
    <w:p w14:paraId="34BA6ABB">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李老师具有多年制造业咨询与供应链管理经验，是国内制造业供应链与物流管理领域中具有丰富实践经验和深刻理解的咨询顾问。</w:t>
      </w:r>
    </w:p>
    <w:p w14:paraId="73FC9364">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针对国内制造型企业的特点和智能制造大趋势，李老师提炼出日臻完整的咨询体系和实施方法，结合在德国工业4.0研修和日本丰田汽车的交流成果，对智能制造和精益物流具有深刻的理解和应用。其企业内部培训和咨询辅导客户数量超过100家，各期公开课学员人数累计超过10000人次，既有管理系统的外资企业，也有快速扩张的民营企业。</w:t>
      </w:r>
    </w:p>
    <w:p w14:paraId="7AD1EA82">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作为上海某智能制造机构合伙人和项目总监参与并负责多个咨询项目的成功实施，善于与企业高层建立信任、畅通的沟通渠道，营造良好的项目运行环境。主要客户遍及汽车、电子、通信、机械、医疗、食品、服装等多个行业，咨询项目以制造型企业的供应链优化、生产计划与库存控制、仓储物流管理等为主。</w:t>
      </w:r>
    </w:p>
    <w:p w14:paraId="51B566EF">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典型咨询项目包括</w:t>
      </w:r>
    </w:p>
    <w:p w14:paraId="3482EA6D">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exact"/>
        <w:ind w:hanging="941"/>
        <w:textAlignment w:val="auto"/>
        <w:rPr>
          <w:rStyle w:val="11"/>
          <w:rFonts w:hint="eastAsia" w:ascii="微软雅黑" w:hAnsi="微软雅黑" w:eastAsia="微软雅黑" w:cs="微软雅黑"/>
          <w:b/>
          <w:bCs w:val="0"/>
          <w:kern w:val="2"/>
          <w:sz w:val="21"/>
          <w:szCs w:val="21"/>
          <w:lang w:val="en-US" w:eastAsia="zh-CN" w:bidi="ar-SA"/>
        </w:rPr>
      </w:pPr>
      <w:r>
        <w:rPr>
          <w:rStyle w:val="11"/>
          <w:rFonts w:hint="eastAsia" w:ascii="微软雅黑" w:hAnsi="微软雅黑" w:eastAsia="微软雅黑" w:cs="微软雅黑"/>
          <w:b/>
          <w:bCs w:val="0"/>
          <w:kern w:val="2"/>
          <w:sz w:val="21"/>
          <w:szCs w:val="21"/>
          <w:lang w:val="en-US" w:eastAsia="zh-CN" w:bidi="ar-SA"/>
        </w:rPr>
        <w:t>浙江XX集团铝轮毂工厂生产物流改善项目</w:t>
      </w:r>
    </w:p>
    <w:p w14:paraId="4E8B7493">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ascii="微软雅黑" w:hAnsi="微软雅黑" w:eastAsia="微软雅黑" w:cs="微软雅黑"/>
          <w:b/>
          <w:bCs/>
          <w:color w:val="0070C0"/>
          <w:szCs w:val="21"/>
        </w:rPr>
        <w:t>■</w:t>
      </w:r>
      <w:r>
        <w:rPr>
          <w:rFonts w:hint="eastAsia" w:hAnsi="微软雅黑" w:eastAsia="微软雅黑"/>
          <w:b/>
          <w:bCs/>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项目时间8个月，担任项目经理和顾问</w:t>
      </w:r>
    </w:p>
    <w:p w14:paraId="53C37381">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ascii="微软雅黑" w:hAnsi="微软雅黑" w:eastAsia="微软雅黑" w:cs="微软雅黑"/>
          <w:b/>
          <w:bCs/>
          <w:color w:val="0070C0"/>
          <w:szCs w:val="21"/>
        </w:rPr>
        <w:t>■</w:t>
      </w:r>
      <w:r>
        <w:rPr>
          <w:rFonts w:hint="eastAsia" w:hAnsi="微软雅黑" w:eastAsia="微软雅黑"/>
          <w:b/>
          <w:bCs/>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通过生产现场布局和物流路线的优化，生产计划体系和车间排程方法的改善以及质量体系的建立，实现汽车配件企业OTD指标的大幅提高（从65%到82%）和关键质量控制点的质量指标改善。</w:t>
      </w:r>
    </w:p>
    <w:p w14:paraId="518ACC14">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exact"/>
        <w:ind w:hanging="941"/>
        <w:textAlignment w:val="auto"/>
        <w:rPr>
          <w:rStyle w:val="11"/>
          <w:rFonts w:hint="eastAsia" w:ascii="微软雅黑" w:hAnsi="微软雅黑" w:eastAsia="微软雅黑" w:cs="微软雅黑"/>
          <w:b/>
          <w:bCs w:val="0"/>
          <w:kern w:val="2"/>
          <w:sz w:val="21"/>
          <w:szCs w:val="21"/>
          <w:lang w:val="en-US" w:eastAsia="zh-CN" w:bidi="ar-SA"/>
        </w:rPr>
      </w:pPr>
      <w:r>
        <w:rPr>
          <w:rStyle w:val="11"/>
          <w:rFonts w:hint="eastAsia" w:ascii="微软雅黑" w:hAnsi="微软雅黑" w:eastAsia="微软雅黑" w:cs="微软雅黑"/>
          <w:b/>
          <w:bCs w:val="0"/>
          <w:kern w:val="2"/>
          <w:sz w:val="21"/>
          <w:szCs w:val="21"/>
          <w:lang w:val="en-US" w:eastAsia="zh-CN" w:bidi="ar-SA"/>
        </w:rPr>
        <w:t>南京XX集团的生产运营咨询项目</w:t>
      </w:r>
    </w:p>
    <w:p w14:paraId="78566A6C">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ascii="微软雅黑" w:hAnsi="微软雅黑" w:eastAsia="微软雅黑" w:cs="微软雅黑"/>
          <w:b/>
          <w:bCs/>
          <w:color w:val="0070C0"/>
          <w:szCs w:val="21"/>
        </w:rPr>
        <w:t>■</w:t>
      </w:r>
      <w:r>
        <w:rPr>
          <w:rFonts w:hint="eastAsia" w:hAnsi="微软雅黑" w:eastAsia="微软雅黑"/>
          <w:b/>
          <w:bCs/>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项目时间2期，共计14个月，担任顾问</w:t>
      </w:r>
    </w:p>
    <w:p w14:paraId="371CAE38">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ascii="微软雅黑" w:hAnsi="微软雅黑" w:eastAsia="微软雅黑" w:cs="微软雅黑"/>
          <w:b/>
          <w:bCs/>
          <w:color w:val="0070C0"/>
          <w:szCs w:val="21"/>
        </w:rPr>
        <w:t>■</w:t>
      </w:r>
      <w:r>
        <w:rPr>
          <w:rFonts w:hint="eastAsia" w:hAnsi="微软雅黑" w:eastAsia="微软雅黑"/>
          <w:b/>
          <w:bCs/>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国内塑编行业典型的民营企业，在企业高管理层大力支持下，对企业班组建设、激励体系建立、生产车间精益布局、缝纫车间的生产线平衡以及采购物流等优化，提高了企业整体管理水平和人员意识能力，特别是产品单位能耗的降低和工厂计划体系的规范，大幅提升了企业的行业竞争力。</w:t>
      </w:r>
    </w:p>
    <w:p w14:paraId="6A0BCF14">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exact"/>
        <w:ind w:hanging="941"/>
        <w:textAlignment w:val="auto"/>
        <w:rPr>
          <w:rStyle w:val="11"/>
          <w:rFonts w:hint="eastAsia" w:ascii="微软雅黑" w:hAnsi="微软雅黑" w:eastAsia="微软雅黑" w:cs="微软雅黑"/>
          <w:b/>
          <w:bCs w:val="0"/>
          <w:kern w:val="2"/>
          <w:sz w:val="21"/>
          <w:szCs w:val="21"/>
          <w:lang w:val="en-US" w:eastAsia="zh-CN" w:bidi="ar-SA"/>
        </w:rPr>
      </w:pPr>
      <w:r>
        <w:rPr>
          <w:rStyle w:val="11"/>
          <w:rFonts w:hint="eastAsia" w:ascii="微软雅黑" w:hAnsi="微软雅黑" w:eastAsia="微软雅黑" w:cs="微软雅黑"/>
          <w:b/>
          <w:bCs w:val="0"/>
          <w:kern w:val="2"/>
          <w:sz w:val="21"/>
          <w:szCs w:val="21"/>
          <w:lang w:val="en-US" w:eastAsia="zh-CN" w:bidi="ar-SA"/>
        </w:rPr>
        <w:t>中国首批创业板上市公司郑州XX电子运营管理咨询</w:t>
      </w:r>
    </w:p>
    <w:p w14:paraId="4B6A3CC7">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ascii="微软雅黑" w:hAnsi="微软雅黑" w:eastAsia="微软雅黑" w:cs="微软雅黑"/>
          <w:b/>
          <w:bCs/>
          <w:color w:val="0070C0"/>
          <w:szCs w:val="21"/>
        </w:rPr>
        <w:t>■</w:t>
      </w:r>
      <w:r>
        <w:rPr>
          <w:rFonts w:hint="eastAsia" w:hAnsi="微软雅黑" w:eastAsia="微软雅黑"/>
          <w:b/>
          <w:bCs/>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第一期项目6个月，担任项目经理和顾问</w:t>
      </w:r>
    </w:p>
    <w:p w14:paraId="65A1F857">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ascii="微软雅黑" w:hAnsi="微软雅黑" w:eastAsia="微软雅黑" w:cs="微软雅黑"/>
          <w:b/>
          <w:bCs/>
          <w:color w:val="0070C0"/>
          <w:szCs w:val="21"/>
        </w:rPr>
        <w:t>■</w:t>
      </w:r>
      <w:r>
        <w:rPr>
          <w:rFonts w:hint="eastAsia" w:hAnsi="微软雅黑" w:eastAsia="微软雅黑"/>
          <w:b/>
          <w:bCs/>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精益项目，负责生产计划改善和库存控制咨询项目。对企业实现大规模产业化能力的提升奠定了坚实的基础，其中一期库存周转率提升15％，SOP（销售运作计划）机制的建立对企业销售模式与生产模式的匹配确定了具体的方法。</w:t>
      </w:r>
    </w:p>
    <w:p w14:paraId="05F9E25B">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exact"/>
        <w:ind w:hanging="941"/>
        <w:textAlignment w:val="auto"/>
        <w:rPr>
          <w:rStyle w:val="11"/>
          <w:rFonts w:hint="eastAsia" w:ascii="微软雅黑" w:hAnsi="微软雅黑" w:eastAsia="微软雅黑" w:cs="微软雅黑"/>
          <w:b/>
          <w:bCs w:val="0"/>
          <w:kern w:val="2"/>
          <w:sz w:val="21"/>
          <w:szCs w:val="21"/>
          <w:lang w:val="en-US" w:eastAsia="zh-CN" w:bidi="ar-SA"/>
        </w:rPr>
      </w:pPr>
      <w:r>
        <w:rPr>
          <w:rStyle w:val="11"/>
          <w:rFonts w:hint="eastAsia" w:ascii="微软雅黑" w:hAnsi="微软雅黑" w:eastAsia="微软雅黑" w:cs="微软雅黑"/>
          <w:b/>
          <w:bCs w:val="0"/>
          <w:kern w:val="2"/>
          <w:sz w:val="21"/>
          <w:szCs w:val="21"/>
          <w:lang w:val="en-US" w:eastAsia="zh-CN" w:bidi="ar-SA"/>
        </w:rPr>
        <w:t>中国运动服饰品牌香港上市公司XX集团工厂仓储物流优化项目</w:t>
      </w:r>
    </w:p>
    <w:p w14:paraId="6E4403B8">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bookmarkStart w:id="0" w:name="_Hlk2942093"/>
      <w:r>
        <w:rPr>
          <w:rFonts w:hint="eastAsia" w:ascii="微软雅黑" w:hAnsi="微软雅黑" w:eastAsia="微软雅黑" w:cs="微软雅黑"/>
          <w:b/>
          <w:bCs/>
          <w:color w:val="0070C0"/>
          <w:szCs w:val="21"/>
        </w:rPr>
        <w:t>■</w:t>
      </w:r>
      <w:r>
        <w:rPr>
          <w:rFonts w:hint="eastAsia" w:hAnsi="微软雅黑" w:eastAsia="微软雅黑"/>
          <w:b/>
          <w:bCs/>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项目时间2期，共计14个月，担任项目经理和顾问</w:t>
      </w:r>
    </w:p>
    <w:p w14:paraId="67963463">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ascii="微软雅黑" w:hAnsi="微软雅黑" w:eastAsia="微软雅黑" w:cs="微软雅黑"/>
          <w:b/>
          <w:bCs/>
          <w:color w:val="0070C0"/>
          <w:szCs w:val="21"/>
        </w:rPr>
        <w:t>■</w:t>
      </w:r>
      <w:r>
        <w:rPr>
          <w:rFonts w:hint="eastAsia" w:hAnsi="微软雅黑" w:eastAsia="微软雅黑"/>
          <w:b/>
          <w:bCs/>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对其服装原材料、鞋业原材料以及服装和鞋业成品仓库实施</w:t>
      </w:r>
      <w:bookmarkEnd w:id="0"/>
      <w:r>
        <w:rPr>
          <w:rStyle w:val="11"/>
          <w:rFonts w:hint="eastAsia" w:ascii="微软雅黑" w:hAnsi="微软雅黑" w:eastAsia="微软雅黑" w:cs="微软雅黑"/>
          <w:b w:val="0"/>
          <w:kern w:val="2"/>
          <w:sz w:val="21"/>
          <w:szCs w:val="21"/>
          <w:lang w:val="en-US" w:eastAsia="zh-CN" w:bidi="ar-SA"/>
        </w:rPr>
        <w:t>系统化改善，包括仓储规划、现场布局、物流设备、标识系统建设、呆滞物料清库盘点、仓储作业流程规范、绩效指标建立等内容，大幅提高仓储进出库效率（成品仓出货时间缩短35%），有效降低仓储作业成本和劳动强度，得到客户高度好评：“我们就需要这样给现场更多细节指导的咨询顾问！”</w:t>
      </w:r>
    </w:p>
    <w:p w14:paraId="408CA5D3">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exact"/>
        <w:ind w:hanging="941"/>
        <w:textAlignment w:val="auto"/>
        <w:rPr>
          <w:rStyle w:val="11"/>
          <w:rFonts w:hint="eastAsia" w:ascii="微软雅黑" w:hAnsi="微软雅黑" w:eastAsia="微软雅黑" w:cs="微软雅黑"/>
          <w:b/>
          <w:bCs w:val="0"/>
          <w:kern w:val="2"/>
          <w:sz w:val="21"/>
          <w:szCs w:val="21"/>
          <w:lang w:val="en-US" w:eastAsia="zh-CN" w:bidi="ar-SA"/>
        </w:rPr>
      </w:pPr>
      <w:r>
        <w:rPr>
          <w:rStyle w:val="11"/>
          <w:rFonts w:hint="eastAsia" w:ascii="微软雅黑" w:hAnsi="微软雅黑" w:eastAsia="微软雅黑" w:cs="微软雅黑"/>
          <w:b/>
          <w:bCs w:val="0"/>
          <w:kern w:val="2"/>
          <w:sz w:val="21"/>
          <w:szCs w:val="21"/>
          <w:lang w:val="en-US" w:eastAsia="zh-CN" w:bidi="ar-SA"/>
        </w:rPr>
        <w:t>上海XX智能仪表有限公司（德资）智能工厂规划项目</w:t>
      </w:r>
    </w:p>
    <w:p w14:paraId="5B6081E1">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ascii="微软雅黑" w:hAnsi="微软雅黑" w:eastAsia="微软雅黑" w:cs="微软雅黑"/>
          <w:b/>
          <w:bCs/>
          <w:color w:val="0070C0"/>
          <w:szCs w:val="21"/>
        </w:rPr>
        <w:t>■</w:t>
      </w:r>
      <w:r>
        <w:rPr>
          <w:rFonts w:hint="eastAsia" w:hAnsi="微软雅黑" w:eastAsia="微软雅黑"/>
          <w:b/>
          <w:bCs/>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项目时间18个月，担任项目经理和顾问</w:t>
      </w:r>
    </w:p>
    <w:p w14:paraId="4A6D12D2">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ascii="微软雅黑" w:hAnsi="微软雅黑" w:eastAsia="微软雅黑" w:cs="微软雅黑"/>
          <w:b/>
          <w:bCs/>
          <w:color w:val="0070C0"/>
          <w:szCs w:val="21"/>
        </w:rPr>
        <w:t>■</w:t>
      </w:r>
      <w:r>
        <w:rPr>
          <w:rFonts w:hint="eastAsia" w:hAnsi="微软雅黑" w:eastAsia="微软雅黑"/>
          <w:b/>
          <w:bCs/>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结合上海G60科创走廊建设，XX上海工厂为打造集团智能化标杆工厂，结合厂区扩建和MES、APS系统实施，立足智能化和系统化布局建设启动智能工厂规划项目。</w:t>
      </w:r>
    </w:p>
    <w:p w14:paraId="310BA9E9">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Style w:val="11"/>
          <w:rFonts w:hint="eastAsia" w:ascii="微软雅黑" w:hAnsi="微软雅黑" w:eastAsia="微软雅黑" w:cs="微软雅黑"/>
          <w:b w:val="0"/>
          <w:kern w:val="2"/>
          <w:sz w:val="21"/>
          <w:szCs w:val="21"/>
          <w:lang w:val="en-US" w:eastAsia="zh-CN" w:bidi="ar-SA"/>
        </w:rPr>
      </w:pPr>
      <w:r>
        <w:rPr>
          <w:rFonts w:hint="eastAsia" w:ascii="微软雅黑" w:hAnsi="微软雅黑" w:eastAsia="微软雅黑" w:cs="微软雅黑"/>
          <w:b/>
          <w:bCs/>
          <w:color w:val="0070C0"/>
          <w:szCs w:val="21"/>
        </w:rPr>
        <w:t>■</w:t>
      </w:r>
      <w:r>
        <w:rPr>
          <w:rFonts w:hint="eastAsia" w:hAnsi="微软雅黑" w:eastAsia="微软雅黑"/>
          <w:b/>
          <w:bCs/>
          <w:color w:val="0070C0"/>
          <w:szCs w:val="21"/>
          <w:lang w:val="en-US" w:eastAsia="zh-CN"/>
        </w:rPr>
        <w:t xml:space="preserve"> </w:t>
      </w:r>
      <w:r>
        <w:rPr>
          <w:rStyle w:val="11"/>
          <w:rFonts w:hint="eastAsia" w:ascii="微软雅黑" w:hAnsi="微软雅黑" w:eastAsia="微软雅黑" w:cs="微软雅黑"/>
          <w:b w:val="0"/>
          <w:kern w:val="2"/>
          <w:sz w:val="21"/>
          <w:szCs w:val="21"/>
          <w:lang w:val="en-US" w:eastAsia="zh-CN" w:bidi="ar-SA"/>
        </w:rPr>
        <w:t>项目工作分为两个大的阶段，工厂大布局和车间精益布局。经过一年半的规划实施和建设，工厂格局与运营管理焕然一新。其中工厂物流整体效率提高25%。结合XX工厂各个不同工艺车间的特点，完成自动化和信息化升级，其中注塑车间的集中供料和自动化传输，直接降低40%以上的WIP，节省30%的物流成本。</w:t>
      </w:r>
    </w:p>
    <w:p w14:paraId="440757A1">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Style w:val="11"/>
          <w:rFonts w:hint="default" w:ascii="微软雅黑" w:hAnsi="微软雅黑" w:eastAsia="微软雅黑" w:cs="微软雅黑"/>
          <w:b w:val="0"/>
          <w:kern w:val="2"/>
          <w:sz w:val="21"/>
          <w:szCs w:val="21"/>
          <w:lang w:val="en-US" w:eastAsia="zh-CN" w:bidi="ar-SA"/>
        </w:rPr>
      </w:pPr>
      <w:r>
        <w:rPr>
          <w:rStyle w:val="11"/>
          <w:rFonts w:hint="eastAsia" w:ascii="微软雅黑" w:hAnsi="微软雅黑" w:eastAsia="微软雅黑" w:cs="微软雅黑"/>
          <w:b w:val="0"/>
          <w:kern w:val="2"/>
          <w:sz w:val="21"/>
          <w:szCs w:val="21"/>
          <w:lang w:val="en-US" w:eastAsia="zh-CN" w:bidi="ar-SA"/>
        </w:rPr>
        <w:t>同时李老师讲授的《智能制造与数字化工厂》、《</w:t>
      </w:r>
      <w:bookmarkStart w:id="1" w:name="_Hlk2943130"/>
      <w:r>
        <w:rPr>
          <w:rStyle w:val="11"/>
          <w:rFonts w:hint="eastAsia" w:ascii="微软雅黑" w:hAnsi="微软雅黑" w:eastAsia="微软雅黑" w:cs="微软雅黑"/>
          <w:b w:val="0"/>
          <w:kern w:val="2"/>
          <w:sz w:val="21"/>
          <w:szCs w:val="21"/>
          <w:lang w:val="en-US" w:eastAsia="zh-CN" w:bidi="ar-SA"/>
        </w:rPr>
        <w:t>工厂智能物流的规划与实践</w:t>
      </w:r>
      <w:bookmarkEnd w:id="1"/>
      <w:r>
        <w:rPr>
          <w:rStyle w:val="11"/>
          <w:rFonts w:hint="eastAsia" w:ascii="微软雅黑" w:hAnsi="微软雅黑" w:eastAsia="微软雅黑" w:cs="微软雅黑"/>
          <w:b w:val="0"/>
          <w:kern w:val="2"/>
          <w:sz w:val="21"/>
          <w:szCs w:val="21"/>
          <w:lang w:val="en-US" w:eastAsia="zh-CN" w:bidi="ar-SA"/>
        </w:rPr>
        <w:t>》、《</w:t>
      </w:r>
      <w:bookmarkStart w:id="2" w:name="_Hlk2943165"/>
      <w:r>
        <w:rPr>
          <w:rStyle w:val="11"/>
          <w:rFonts w:hint="eastAsia" w:ascii="微软雅黑" w:hAnsi="微软雅黑" w:eastAsia="微软雅黑" w:cs="微软雅黑"/>
          <w:b w:val="0"/>
          <w:kern w:val="2"/>
          <w:sz w:val="21"/>
          <w:szCs w:val="21"/>
          <w:lang w:val="en-US" w:eastAsia="zh-CN" w:bidi="ar-SA"/>
        </w:rPr>
        <w:t>工厂运营大数据管理</w:t>
      </w:r>
      <w:bookmarkEnd w:id="2"/>
      <w:r>
        <w:rPr>
          <w:rStyle w:val="11"/>
          <w:rFonts w:hint="eastAsia" w:ascii="微软雅黑" w:hAnsi="微软雅黑" w:eastAsia="微软雅黑" w:cs="微软雅黑"/>
          <w:b w:val="0"/>
          <w:kern w:val="2"/>
          <w:sz w:val="21"/>
          <w:szCs w:val="21"/>
          <w:lang w:val="en-US" w:eastAsia="zh-CN" w:bidi="ar-SA"/>
        </w:rPr>
        <w:t>》、《仓储日常管理实务》、《仓储管理与库存控制》等课程深受广大学员好评，学员反馈李老师学识丰富、思维敏锐，条理清晰，逻辑性、实务性强，善于针对学员和企业的实际需求组织课程内容，用生动丰富的实际咨询案例与学员共同探讨解决方案，课程内容翔实，案例生动。</w:t>
      </w:r>
    </w:p>
    <w:p w14:paraId="69B8C1BE">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default"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default"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服务企业</w:t>
      </w:r>
    </w:p>
    <w:p w14:paraId="51EEC2BD">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微软雅黑" w:cs="Times New Roman"/>
          <w:kern w:val="2"/>
          <w:sz w:val="21"/>
          <w:szCs w:val="21"/>
          <w:lang w:val="en-US" w:eastAsia="zh-CN" w:bidi="ar-SA"/>
        </w:rPr>
      </w:pPr>
      <w:r>
        <w:rPr>
          <w:rFonts w:hint="default" w:ascii="Times New Roman" w:hAnsi="Times New Roman" w:eastAsia="微软雅黑" w:cs="Times New Roman"/>
          <w:b/>
          <w:bCs/>
          <w:kern w:val="2"/>
          <w:sz w:val="21"/>
          <w:szCs w:val="21"/>
          <w:lang w:val="en-US" w:eastAsia="zh-CN" w:bidi="ar-SA"/>
        </w:rPr>
        <w:t>机械装备行业：</w:t>
      </w:r>
      <w:r>
        <w:rPr>
          <w:rFonts w:hint="default" w:ascii="Times New Roman" w:hAnsi="Times New Roman" w:eastAsia="微软雅黑" w:cs="Times New Roman"/>
          <w:kern w:val="2"/>
          <w:sz w:val="21"/>
          <w:szCs w:val="21"/>
          <w:lang w:val="en-US" w:eastAsia="zh-CN" w:bidi="ar-SA"/>
        </w:rPr>
        <w:t>长沙中联重科、百得工具（上海中）、中车株洲机车、沃尔沃重工、上海汽轮机、上海神开集团、苏州迅达电梯、苏州EXPRESS电梯、浙江盾安集团、沈阳爱默生环境技术、常州奥斯迈医疗器械</w:t>
      </w:r>
    </w:p>
    <w:p w14:paraId="6829276D">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微软雅黑" w:cs="Times New Roman"/>
          <w:kern w:val="2"/>
          <w:sz w:val="21"/>
          <w:szCs w:val="21"/>
          <w:lang w:val="en-US" w:eastAsia="zh-CN" w:bidi="ar-SA"/>
        </w:rPr>
      </w:pPr>
      <w:r>
        <w:rPr>
          <w:rFonts w:hint="default" w:ascii="Times New Roman" w:hAnsi="Times New Roman" w:eastAsia="微软雅黑" w:cs="Times New Roman"/>
          <w:b/>
          <w:bCs/>
          <w:kern w:val="2"/>
          <w:sz w:val="21"/>
          <w:szCs w:val="21"/>
          <w:lang w:val="en-US" w:eastAsia="zh-CN" w:bidi="ar-SA"/>
        </w:rPr>
        <w:t>汽车及其供应链行业：</w:t>
      </w:r>
      <w:r>
        <w:rPr>
          <w:rFonts w:hint="default" w:ascii="Times New Roman" w:hAnsi="Times New Roman" w:eastAsia="微软雅黑" w:cs="Times New Roman"/>
          <w:kern w:val="2"/>
          <w:sz w:val="21"/>
          <w:szCs w:val="21"/>
          <w:lang w:val="en-US" w:eastAsia="zh-CN" w:bidi="ar-SA"/>
        </w:rPr>
        <w:t>沈阳宝马、上海大众、南京长安福特马自达、上海现代摩比斯、北京汽车、苏州莱顿汽车零部件、浙江郑泰集团（汽车铝轮工厂）、无锡威孚高科技集团、上海科士达华阳汽车电器、李尔汽车配件</w:t>
      </w:r>
    </w:p>
    <w:p w14:paraId="71DC874B">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微软雅黑" w:cs="Times New Roman"/>
          <w:kern w:val="2"/>
          <w:sz w:val="21"/>
          <w:szCs w:val="21"/>
          <w:lang w:val="en-US" w:eastAsia="zh-CN" w:bidi="ar-SA"/>
        </w:rPr>
      </w:pPr>
      <w:r>
        <w:rPr>
          <w:rFonts w:hint="default" w:ascii="Times New Roman" w:hAnsi="Times New Roman" w:eastAsia="微软雅黑" w:cs="Times New Roman"/>
          <w:b/>
          <w:bCs/>
          <w:kern w:val="2"/>
          <w:sz w:val="21"/>
          <w:szCs w:val="21"/>
          <w:lang w:val="en-US" w:eastAsia="zh-CN" w:bidi="ar-SA"/>
        </w:rPr>
        <w:t>电子电气行业：</w:t>
      </w:r>
      <w:r>
        <w:rPr>
          <w:rFonts w:hint="default" w:ascii="Times New Roman" w:hAnsi="Times New Roman" w:eastAsia="微软雅黑" w:cs="Times New Roman"/>
          <w:kern w:val="2"/>
          <w:sz w:val="21"/>
          <w:szCs w:val="21"/>
          <w:lang w:val="en-US" w:eastAsia="zh-CN" w:bidi="ar-SA"/>
        </w:rPr>
        <w:t>青岛海信集团、青岛安普泰克（AMP）、上海美敦力医疗器械、飞利浦（上海总部）、上海先进半导体、青岛海尔、青岛海信日立空调、河南汉威电子、浙江德力西电气、上海开利空调、南京熊猫电子、上海张江微电子、苏州伊顿电器、苏州优利康听力技术</w:t>
      </w:r>
    </w:p>
    <w:p w14:paraId="3FE1173B">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微软雅黑" w:cs="Times New Roman"/>
          <w:kern w:val="2"/>
          <w:sz w:val="21"/>
          <w:szCs w:val="21"/>
          <w:lang w:val="en-US" w:eastAsia="zh-CN" w:bidi="ar-SA"/>
        </w:rPr>
      </w:pPr>
      <w:r>
        <w:rPr>
          <w:rFonts w:hint="default" w:ascii="Times New Roman" w:hAnsi="Times New Roman" w:eastAsia="微软雅黑" w:cs="Times New Roman"/>
          <w:b/>
          <w:bCs/>
          <w:kern w:val="2"/>
          <w:sz w:val="21"/>
          <w:szCs w:val="21"/>
          <w:lang w:val="en-US" w:eastAsia="zh-CN" w:bidi="ar-SA"/>
        </w:rPr>
        <w:t>医药食品行业：</w:t>
      </w:r>
      <w:r>
        <w:rPr>
          <w:rFonts w:hint="default" w:ascii="Times New Roman" w:hAnsi="Times New Roman" w:eastAsia="微软雅黑" w:cs="Times New Roman"/>
          <w:kern w:val="2"/>
          <w:sz w:val="21"/>
          <w:szCs w:val="21"/>
          <w:lang w:val="en-US" w:eastAsia="zh-CN" w:bidi="ar-SA"/>
        </w:rPr>
        <w:t>上海荷美尔食品有限公司、天津卡夫食品、上海嘉里粮油、无锡纽迪西亚制药、河南宛西制药、山东保龄宝生物科技</w:t>
      </w:r>
    </w:p>
    <w:p w14:paraId="460E1DFE">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微软雅黑" w:cs="Times New Roman"/>
          <w:kern w:val="2"/>
          <w:sz w:val="21"/>
          <w:szCs w:val="21"/>
          <w:lang w:val="en-US" w:eastAsia="zh-CN" w:bidi="ar-SA"/>
        </w:rPr>
      </w:pPr>
      <w:r>
        <w:rPr>
          <w:rFonts w:hint="default" w:ascii="Times New Roman" w:hAnsi="Times New Roman" w:eastAsia="微软雅黑" w:cs="Times New Roman"/>
          <w:b/>
          <w:bCs/>
          <w:kern w:val="2"/>
          <w:sz w:val="21"/>
          <w:szCs w:val="21"/>
          <w:lang w:val="en-US" w:eastAsia="zh-CN" w:bidi="ar-SA"/>
        </w:rPr>
        <w:t>化工钢铁行业：</w:t>
      </w:r>
      <w:r>
        <w:rPr>
          <w:rFonts w:hint="default" w:ascii="Times New Roman" w:hAnsi="Times New Roman" w:eastAsia="微软雅黑" w:cs="Times New Roman"/>
          <w:kern w:val="2"/>
          <w:sz w:val="21"/>
          <w:szCs w:val="21"/>
          <w:lang w:val="en-US" w:eastAsia="zh-CN" w:bidi="ar-SA"/>
        </w:rPr>
        <w:t>南京扬子巴斯夫、上海宝钢集团工业技术公司、青岛圣戈班玻璃、河南金山化工</w:t>
      </w:r>
    </w:p>
    <w:p w14:paraId="02DAE12E">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微软雅黑" w:cs="Times New Roman"/>
          <w:kern w:val="2"/>
          <w:sz w:val="21"/>
          <w:szCs w:val="21"/>
          <w:lang w:val="en-US" w:eastAsia="zh-CN" w:bidi="ar-SA"/>
        </w:rPr>
      </w:pPr>
      <w:r>
        <w:rPr>
          <w:rFonts w:hint="default" w:ascii="Times New Roman" w:hAnsi="Times New Roman" w:eastAsia="微软雅黑" w:cs="Times New Roman"/>
          <w:b/>
          <w:bCs/>
          <w:kern w:val="2"/>
          <w:sz w:val="21"/>
          <w:szCs w:val="21"/>
          <w:lang w:val="en-US" w:eastAsia="zh-CN" w:bidi="ar-SA"/>
        </w:rPr>
        <w:t>能源动力行业：</w:t>
      </w:r>
      <w:r>
        <w:rPr>
          <w:rFonts w:hint="default" w:ascii="Times New Roman" w:hAnsi="Times New Roman" w:eastAsia="微软雅黑" w:cs="Times New Roman"/>
          <w:kern w:val="2"/>
          <w:sz w:val="21"/>
          <w:szCs w:val="21"/>
          <w:lang w:val="en-US" w:eastAsia="zh-CN" w:bidi="ar-SA"/>
        </w:rPr>
        <w:t>国电联合动力、浙江国华宁海电厂、金风科技（北京）天诚同创、扬州晶澳太阳能、南京南瑞继保</w:t>
      </w:r>
    </w:p>
    <w:p w14:paraId="1BA0DAF4">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微软雅黑" w:cs="Times New Roman"/>
          <w:kern w:val="2"/>
          <w:sz w:val="21"/>
          <w:szCs w:val="21"/>
          <w:lang w:val="en-US" w:eastAsia="zh-CN" w:bidi="ar-SA"/>
        </w:rPr>
      </w:pPr>
      <w:r>
        <w:rPr>
          <w:rFonts w:hint="default" w:ascii="Times New Roman" w:hAnsi="Times New Roman" w:eastAsia="微软雅黑" w:cs="Times New Roman"/>
          <w:b/>
          <w:bCs/>
          <w:kern w:val="2"/>
          <w:sz w:val="21"/>
          <w:szCs w:val="21"/>
          <w:lang w:val="en-US" w:eastAsia="zh-CN" w:bidi="ar-SA"/>
        </w:rPr>
        <w:t>服装行业：</w:t>
      </w:r>
      <w:r>
        <w:rPr>
          <w:rFonts w:hint="default" w:ascii="Times New Roman" w:hAnsi="Times New Roman" w:eastAsia="微软雅黑" w:cs="Times New Roman"/>
          <w:kern w:val="2"/>
          <w:sz w:val="21"/>
          <w:szCs w:val="21"/>
          <w:lang w:val="en-US" w:eastAsia="zh-CN" w:bidi="ar-SA"/>
        </w:rPr>
        <w:t>特步（中国）有限公司</w:t>
      </w:r>
    </w:p>
    <w:p w14:paraId="0DA6BCAC">
      <w:pPr>
        <w:pStyle w:val="4"/>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Times New Roman" w:hAnsi="Times New Roman" w:eastAsia="微软雅黑" w:cs="Times New Roman"/>
          <w:sz w:val="21"/>
          <w:szCs w:val="21"/>
        </w:rPr>
      </w:pPr>
      <w:r>
        <w:rPr>
          <w:rFonts w:hint="default" w:ascii="Times New Roman" w:hAnsi="Times New Roman" w:eastAsia="微软雅黑" w:cs="Times New Roman"/>
          <w:b/>
          <w:bCs/>
          <w:kern w:val="2"/>
          <w:sz w:val="21"/>
          <w:szCs w:val="21"/>
          <w:lang w:val="en-US" w:eastAsia="zh-CN" w:bidi="ar-SA"/>
        </w:rPr>
        <w:t>其他：</w:t>
      </w:r>
      <w:r>
        <w:rPr>
          <w:rFonts w:hint="default" w:ascii="Times New Roman" w:hAnsi="Times New Roman" w:eastAsia="微软雅黑" w:cs="Times New Roman"/>
          <w:kern w:val="2"/>
          <w:sz w:val="21"/>
          <w:szCs w:val="21"/>
          <w:lang w:val="en-US" w:eastAsia="zh-CN" w:bidi="ar-SA"/>
        </w:rPr>
        <w:t>台积电半导体（上海）、沈阳东软集团、上海安吉物流、上海东冠纸业、苏州吉田建材、北京天开园林、南京火天集团</w:t>
      </w:r>
      <w:r>
        <w:rPr>
          <w:rFonts w:hint="eastAsia" w:eastAsia="微软雅黑" w:cs="Times New Roman"/>
          <w:kern w:val="2"/>
          <w:sz w:val="21"/>
          <w:szCs w:val="21"/>
          <w:lang w:val="en-US" w:eastAsia="zh-CN" w:bidi="ar-SA"/>
        </w:rPr>
        <w:t>。</w:t>
      </w:r>
    </w:p>
    <w:p w14:paraId="25C87E66">
      <w:pPr>
        <w:keepNext w:val="0"/>
        <w:keepLines w:val="0"/>
        <w:pageBreakBefore w:val="0"/>
        <w:widowControl/>
        <w:kinsoku/>
        <w:wordWrap/>
        <w:overflowPunct/>
        <w:topLinePunct w:val="0"/>
        <w:autoSpaceDE/>
        <w:autoSpaceDN/>
        <w:bidi w:val="0"/>
        <w:adjustRightInd/>
        <w:snapToGrid/>
        <w:spacing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联系我们</w:t>
      </w:r>
    </w:p>
    <w:p w14:paraId="54DB24B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bookmarkStart w:id="3" w:name="_Hlk27485291"/>
      <w:bookmarkStart w:id="4" w:name="_Hlk27470541"/>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drawing>
          <wp:anchor distT="0" distB="0" distL="114300" distR="114300" simplePos="0" relativeHeight="251660288" behindDoc="0" locked="0" layoutInCell="1" allowOverlap="1">
            <wp:simplePos x="0" y="0"/>
            <wp:positionH relativeFrom="column">
              <wp:posOffset>28575</wp:posOffset>
            </wp:positionH>
            <wp:positionV relativeFrom="paragraph">
              <wp:posOffset>28575</wp:posOffset>
            </wp:positionV>
            <wp:extent cx="156845" cy="163830"/>
            <wp:effectExtent l="0" t="0" r="14605" b="7620"/>
            <wp:wrapSquare wrapText="bothSides"/>
            <wp:docPr id="6" name="图片 6" descr="303b333633323435343bc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03b333633323435343bc8cb"/>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156845" cy="163830"/>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Name：</w:t>
      </w:r>
    </w:p>
    <w:p w14:paraId="4263C6B3">
      <w:pPr>
        <w:keepNext w:val="0"/>
        <w:keepLines w:val="0"/>
        <w:pageBreakBefore w:val="0"/>
        <w:widowControl w:val="0"/>
        <w:kinsoku/>
        <w:wordWrap/>
        <w:overflowPunct/>
        <w:topLinePunct w:val="0"/>
        <w:autoSpaceDE/>
        <w:autoSpaceDN/>
        <w:bidi w:val="0"/>
        <w:adjustRightInd/>
        <w:snapToGrid/>
        <w:spacing w:line="360" w:lineRule="exact"/>
        <w:ind w:leftChars="200"/>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4384" behindDoc="0" locked="0" layoutInCell="1" allowOverlap="1">
            <wp:simplePos x="0" y="0"/>
            <wp:positionH relativeFrom="column">
              <wp:posOffset>57150</wp:posOffset>
            </wp:positionH>
            <wp:positionV relativeFrom="paragraph">
              <wp:posOffset>47625</wp:posOffset>
            </wp:positionV>
            <wp:extent cx="130175" cy="203835"/>
            <wp:effectExtent l="0" t="0" r="3175" b="5715"/>
            <wp:wrapSquare wrapText="bothSides"/>
            <wp:docPr id="52" name="图片 52" descr="303b333633363731363bb5e7b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303b333633363731363bb5e7bbb0"/>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130175" cy="203835"/>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Tel:</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w:t>
      </w:r>
    </w:p>
    <w:p w14:paraId="69C569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5408" behindDoc="0" locked="0" layoutInCell="1" allowOverlap="1">
            <wp:simplePos x="0" y="0"/>
            <wp:positionH relativeFrom="column">
              <wp:posOffset>-238125</wp:posOffset>
            </wp:positionH>
            <wp:positionV relativeFrom="paragraph">
              <wp:posOffset>44450</wp:posOffset>
            </wp:positionV>
            <wp:extent cx="123825" cy="209550"/>
            <wp:effectExtent l="0" t="0" r="9525" b="0"/>
            <wp:wrapSquare wrapText="bothSides"/>
            <wp:docPr id="54" name="图片 54" descr="303b333733323739373bcad6bb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303b333733323739373bcad6bbfa"/>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123825" cy="209550"/>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Mobil:</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 </w:t>
      </w:r>
    </w:p>
    <w:p w14:paraId="603E9E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6432" behindDoc="1" locked="0" layoutInCell="1" allowOverlap="1">
            <wp:simplePos x="0" y="0"/>
            <wp:positionH relativeFrom="column">
              <wp:posOffset>-285750</wp:posOffset>
            </wp:positionH>
            <wp:positionV relativeFrom="paragraph">
              <wp:posOffset>47625</wp:posOffset>
            </wp:positionV>
            <wp:extent cx="201295" cy="201295"/>
            <wp:effectExtent l="0" t="0" r="8255" b="6985"/>
            <wp:wrapTight wrapText="bothSides">
              <wp:wrapPolygon>
                <wp:start x="0" y="3952"/>
                <wp:lineTo x="0" y="19760"/>
                <wp:lineTo x="19760" y="19760"/>
                <wp:lineTo x="19760" y="3952"/>
                <wp:lineTo x="0" y="3952"/>
              </wp:wrapPolygon>
            </wp:wrapTight>
            <wp:docPr id="55" name="图片 55" descr="303b343632393039323bd3cacf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303b343632393039323bd3cacfe4"/>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201295" cy="201295"/>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Mail：</w:t>
      </w:r>
    </w:p>
    <w:p w14:paraId="3410E5DB">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r>
        <w:rPr>
          <w:sz w:val="36"/>
        </w:rPr>
        <mc:AlternateContent>
          <mc:Choice Requires="wps">
            <w:drawing>
              <wp:anchor distT="0" distB="0" distL="114300" distR="114300" simplePos="0" relativeHeight="251663360" behindDoc="0" locked="0" layoutInCell="1" allowOverlap="1">
                <wp:simplePos x="0" y="0"/>
                <wp:positionH relativeFrom="column">
                  <wp:posOffset>8255</wp:posOffset>
                </wp:positionH>
                <wp:positionV relativeFrom="paragraph">
                  <wp:posOffset>201930</wp:posOffset>
                </wp:positionV>
                <wp:extent cx="6102350" cy="0"/>
                <wp:effectExtent l="0" t="6350" r="6350" b="6350"/>
                <wp:wrapNone/>
                <wp:docPr id="18" name="直接连接符 18"/>
                <wp:cNvGraphicFramePr/>
                <a:graphic xmlns:a="http://schemas.openxmlformats.org/drawingml/2006/main">
                  <a:graphicData uri="http://schemas.microsoft.com/office/word/2010/wordprocessingShape">
                    <wps:wsp>
                      <wps:cNvCnPr/>
                      <wps:spPr>
                        <a:xfrm>
                          <a:off x="694055" y="4507865"/>
                          <a:ext cx="6102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5.9pt;height:0pt;width:480.5pt;z-index:251663360;mso-width-relative:page;mso-height-relative:page;" filled="f" stroked="t" coordsize="21600,21600" o:gfxdata="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ZlynVAAAABwEAAA8A&#10;AAAAAAAAAQAgAAAAIgAAAGRycy9kb3ducmV2LnhtbFBLAQIUABQAAAAIAIdO4kA8BXRGjAIAAMgF&#10;AAAOAAAAAAAAAAEAIAAAACQBAABkcnMvZTJvRG9jLnhtbFBLBQYAAAAABgAGAFkBAAAiBgAAAAA=&#10;">
                <v:fill on="f" focussize="0,0"/>
                <v:stroke weight="1pt" color="#000000" miterlimit="8" joinstyle="miter"/>
                <v:imagedata o:title=""/>
                <o:lock v:ext="edit" aspectratio="f"/>
              </v:line>
            </w:pict>
          </mc:Fallback>
        </mc:AlternateContent>
      </w:r>
    </w:p>
    <w:p w14:paraId="1057E7B2">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eastAsia="微软雅黑 Light"/>
          <w:b/>
          <w:bCs/>
          <w:color w:val="262626" w:themeColor="text1" w:themeTint="D9"/>
          <w:sz w:val="36"/>
          <w:szCs w:val="36"/>
          <w:lang w:val="en-US" w:eastAsia="zh-CN"/>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r>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t>公开课报名表</w:t>
      </w:r>
    </w:p>
    <w:p w14:paraId="40D9A7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我报名参加以下博润课程 / Please Register Me for the Following Brain consulting Seminar of:</w:t>
      </w:r>
    </w:p>
    <w:p w14:paraId="6340C2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报名学员信息 / Registrant Information:</w:t>
      </w:r>
    </w:p>
    <w:tbl>
      <w:tblPr>
        <w:tblStyle w:val="8"/>
        <w:tblpPr w:leftFromText="180" w:rightFromText="180" w:vertAnchor="text" w:horzAnchor="page" w:tblpX="1216" w:tblpY="1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433"/>
        <w:gridCol w:w="1052"/>
        <w:gridCol w:w="194"/>
        <w:gridCol w:w="1304"/>
        <w:gridCol w:w="1573"/>
        <w:gridCol w:w="2631"/>
      </w:tblGrid>
      <w:tr w14:paraId="2A9F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6DF1DF2B">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公司全称</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44C79D72">
            <w:pPr>
              <w:spacing w:line="300" w:lineRule="exact"/>
              <w:ind w:left="210" w:leftChars="100"/>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32C1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6CF0B7C9">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参加人姓名</w:t>
            </w:r>
          </w:p>
          <w:p w14:paraId="7B90D768">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Name</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7F27C678">
            <w:pPr>
              <w:spacing w:line="300" w:lineRule="exact"/>
              <w:jc w:val="cente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性别</w:t>
            </w:r>
          </w:p>
          <w:p w14:paraId="7FECA03E">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Gender</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1FD23BC4">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职务</w:t>
            </w:r>
          </w:p>
          <w:p w14:paraId="10E999EB">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Job Title</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73417D65">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电话</w:t>
            </w: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Telephone</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21DA2283">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手机</w:t>
            </w:r>
          </w:p>
          <w:p w14:paraId="330B10F3">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Mobile</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3A4D69B5">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邮 件</w:t>
            </w:r>
          </w:p>
          <w:p w14:paraId="23BA05EA">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E-Mail</w:t>
            </w:r>
          </w:p>
        </w:tc>
      </w:tr>
      <w:tr w14:paraId="0F21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21453285">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78BECD3D">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1BA5B31A">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7FA4AD06">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34B68C8B">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30781E14">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0206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37DF6F69">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53278754">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568F5221">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746D5573">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363F52A9">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5F08E602">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1644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530D86DE">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3AD6574C">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4F0394DD">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41CEA6B5">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0EE28258">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45FCA9AB">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7FD8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512C1E5B">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5269A784">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44D68CD8">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02255323">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24C66999">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25A62A11">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5D9B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7E5F8E83">
            <w:pPr>
              <w:spacing w:line="300" w:lineRule="exact"/>
              <w:ind w:left="210"/>
              <w:jc w:val="left"/>
              <w:rPr>
                <w:rFonts w:hint="eastAsia" w:ascii="微软雅黑" w:hAnsi="微软雅黑" w:eastAsia="微软雅黑" w:cs="微软雅黑"/>
                <w:color w:val="262626" w:themeColor="text1" w:themeTint="D9"/>
                <w:sz w:val="21"/>
                <w:szCs w:val="21"/>
                <w:lang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14:paraId="106F71B4">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Payment</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54F3C309">
            <w:pPr>
              <w:spacing w:line="300" w:lineRule="exact"/>
              <w:ind w:left="210" w:firstLine="210" w:firstLineChars="100"/>
              <w:jc w:val="left"/>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请选择：  □ 转账       □ 现金</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微信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支付宝</w:t>
            </w:r>
          </w:p>
        </w:tc>
      </w:tr>
      <w:tr w14:paraId="10A2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122BB7CC">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14:paraId="00D7A1CE">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与信息Payment information</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299798DC">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户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名：北京博润伟业管理顾问有限公司</w:t>
            </w:r>
          </w:p>
          <w:p w14:paraId="0CD87273">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开户银行：华夏银行北京十里堡支行</w:t>
            </w:r>
          </w:p>
          <w:p w14:paraId="1BEB6E56">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银行帐号：4046200001801900010060</w:t>
            </w:r>
          </w:p>
          <w:p w14:paraId="7183FD1A">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地    址：北京市朝阳区东四环中路78号大成国际中心2号楼B0615</w:t>
            </w:r>
          </w:p>
        </w:tc>
      </w:tr>
      <w:tr w14:paraId="173A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917" w:type="dxa"/>
            <w:gridSpan w:val="3"/>
            <w:tcBorders>
              <w:top w:val="single" w:color="auto" w:sz="4" w:space="0"/>
              <w:left w:val="single" w:color="auto" w:sz="4" w:space="0"/>
              <w:bottom w:val="single" w:color="auto" w:sz="4" w:space="0"/>
              <w:right w:val="single" w:color="auto" w:sz="4" w:space="0"/>
            </w:tcBorders>
            <w:noWrap w:val="0"/>
            <w:vAlign w:val="center"/>
          </w:tcPr>
          <w:p w14:paraId="2E2766A4">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发票提供给 Deliver Invoice to</w:t>
            </w:r>
          </w:p>
        </w:tc>
        <w:tc>
          <w:tcPr>
            <w:tcW w:w="5702" w:type="dxa"/>
            <w:gridSpan w:val="4"/>
            <w:tcBorders>
              <w:top w:val="single" w:color="auto" w:sz="4" w:space="0"/>
              <w:left w:val="single" w:color="auto" w:sz="4" w:space="0"/>
              <w:bottom w:val="single" w:color="auto" w:sz="4" w:space="0"/>
              <w:right w:val="single" w:color="auto" w:sz="4" w:space="0"/>
            </w:tcBorders>
            <w:noWrap w:val="0"/>
            <w:vAlign w:val="center"/>
          </w:tcPr>
          <w:p w14:paraId="465DC0BA">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HR   □ 学员 </w:t>
            </w:r>
          </w:p>
        </w:tc>
      </w:tr>
    </w:tbl>
    <w:p w14:paraId="6C0EA763">
      <w:pPr>
        <w:spacing w:line="300" w:lineRule="exact"/>
        <w:jc w:val="left"/>
        <w:rPr>
          <w:rFonts w:hint="eastAsia" w:ascii="微软雅黑" w:hAnsi="微软雅黑" w:eastAsia="微软雅黑" w:cs="微软雅黑"/>
          <w:b/>
          <w:szCs w:val="21"/>
        </w:rPr>
      </w:pPr>
      <w:r>
        <w:rPr>
          <w:rFonts w:hint="eastAsia" w:ascii="微软雅黑" w:hAnsi="微软雅黑" w:eastAsia="微软雅黑" w:cs="微软雅黑"/>
          <w:b/>
          <w:szCs w:val="21"/>
        </w:rPr>
        <w:t>如您有企业内训需求，请与我们联系； 该表可复制</w:t>
      </w:r>
      <w:bookmarkEnd w:id="3"/>
      <w:bookmarkEnd w:id="4"/>
    </w:p>
    <w:p w14:paraId="09C10120">
      <w:pPr>
        <w:rPr>
          <w:rFonts w:hint="eastAsia" w:ascii="微软雅黑" w:hAnsi="微软雅黑" w:eastAsia="微软雅黑" w:cs="微软雅黑"/>
          <w:lang w:val="en-US" w:eastAsia="zh-CN"/>
        </w:rPr>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p>
    <w:p w14:paraId="3B3DC669">
      <w:pPr>
        <w:rPr>
          <w:rFonts w:hint="eastAsia" w:ascii="微软雅黑" w:hAnsi="微软雅黑" w:eastAsia="微软雅黑" w:cs="微软雅黑"/>
          <w:lang w:val="en-US" w:eastAsia="zh-CN"/>
        </w:rPr>
      </w:pPr>
    </w:p>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548EB">
    <w:pPr>
      <w:pStyle w:val="5"/>
      <w:jc w:val="center"/>
      <w:rPr>
        <w:rFonts w:hint="eastAsia" w:ascii="微软雅黑" w:hAnsi="微软雅黑" w:eastAsia="微软雅黑" w:cs="微软雅黑"/>
        <w:color w:val="A6A6A6" w:themeColor="background1" w:themeShade="A6"/>
        <w:lang w:val="en-US" w:eastAsia="zh-CN"/>
      </w:rPr>
    </w:pPr>
    <w:r>
      <w:rPr>
        <w:rFonts w:hint="eastAsia" w:ascii="微软雅黑" w:hAnsi="微软雅黑" w:eastAsia="微软雅黑" w:cs="微软雅黑"/>
        <w:color w:val="A6A6A6" w:themeColor="background1" w:themeShade="A6"/>
      </w:rPr>
      <w:drawing>
        <wp:anchor distT="0" distB="0" distL="114300" distR="114300" simplePos="0" relativeHeight="251662336" behindDoc="1" locked="0" layoutInCell="1" allowOverlap="1">
          <wp:simplePos x="0" y="0"/>
          <wp:positionH relativeFrom="page">
            <wp:posOffset>47625</wp:posOffset>
          </wp:positionH>
          <wp:positionV relativeFrom="page">
            <wp:posOffset>10273030</wp:posOffset>
          </wp:positionV>
          <wp:extent cx="7666990" cy="476885"/>
          <wp:effectExtent l="0" t="0" r="10160" b="18415"/>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
                  <a:stretch>
                    <a:fillRect/>
                  </a:stretch>
                </pic:blipFill>
                <pic:spPr>
                  <a:xfrm flipV="1">
                    <a:off x="0" y="0"/>
                    <a:ext cx="7666990" cy="476885"/>
                  </a:xfrm>
                  <a:prstGeom prst="rect">
                    <a:avLst/>
                  </a:prstGeom>
                  <a:noFill/>
                  <a:ln>
                    <a:noFill/>
                  </a:ln>
                </pic:spPr>
              </pic:pic>
            </a:graphicData>
          </a:graphic>
        </wp:anchor>
      </w:drawing>
    </w:r>
    <w:r>
      <w:rPr>
        <w:rFonts w:hint="eastAsia" w:ascii="微软雅黑" w:hAnsi="微软雅黑" w:eastAsia="微软雅黑" w:cs="微软雅黑"/>
        <w:color w:val="A6A6A6" w:themeColor="background1" w:themeShade="A6"/>
        <w:lang w:val="en-US" w:eastAsia="zh-CN"/>
      </w:rPr>
      <w:t>北京博润伟业管理顾问有限公司    Beijing Brain Management Consulting Co., Ltd.</w:t>
    </w:r>
  </w:p>
  <w:p w14:paraId="6943D732">
    <w:pPr>
      <w:pStyle w:val="5"/>
      <w:jc w:val="center"/>
      <w:rPr>
        <w:rFonts w:hint="eastAsia" w:ascii="微软雅黑" w:hAnsi="微软雅黑" w:eastAsia="微软雅黑" w:cs="微软雅黑"/>
        <w:color w:val="A6A6A6" w:themeColor="background1" w:themeShade="A6"/>
        <w:lang w:val="en-US" w:eastAsia="zh-CN"/>
      </w:rPr>
    </w:pPr>
    <w:r>
      <w:rPr>
        <w:rFonts w:hint="eastAsia" w:ascii="微软雅黑" w:hAnsi="微软雅黑" w:eastAsia="微软雅黑" w:cs="微软雅黑"/>
        <w:color w:val="A6A6A6" w:themeColor="background1" w:themeShade="A6"/>
        <w:lang w:val="en-US" w:eastAsia="zh-CN"/>
      </w:rPr>
      <w:t>北京市朝阳区东四环中路78号金隅大成国际中心B2座06B15室   www.brwy.com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A0377">
    <w:pPr>
      <w:pStyle w:val="6"/>
      <w:pBdr>
        <w:bottom w:val="single" w:color="auto" w:sz="4" w:space="1"/>
      </w:pBdr>
      <w:jc w:val="both"/>
      <w:rPr>
        <w:rFonts w:hint="eastAsia" w:eastAsia="宋体"/>
        <w:lang w:eastAsia="zh-CN"/>
      </w:rPr>
    </w:pPr>
    <w:r>
      <w:rPr>
        <w:rFonts w:hint="eastAsia" w:eastAsia="宋体"/>
        <w:lang w:eastAsia="zh-CN"/>
      </w:rPr>
      <w:drawing>
        <wp:inline distT="0" distB="0" distL="114300" distR="114300">
          <wp:extent cx="1336675" cy="412115"/>
          <wp:effectExtent l="0" t="0" r="15875" b="6985"/>
          <wp:docPr id="17" name="图片 17" descr="LOGO 无背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LOGO 无背景1"/>
                  <pic:cNvPicPr>
                    <a:picLocks noChangeAspect="1"/>
                  </pic:cNvPicPr>
                </pic:nvPicPr>
                <pic:blipFill>
                  <a:blip r:embed="rId1"/>
                  <a:stretch>
                    <a:fillRect/>
                  </a:stretch>
                </pic:blipFill>
                <pic:spPr>
                  <a:xfrm>
                    <a:off x="0" y="0"/>
                    <a:ext cx="1336675" cy="412115"/>
                  </a:xfrm>
                  <a:prstGeom prst="rect">
                    <a:avLst/>
                  </a:prstGeom>
                </pic:spPr>
              </pic:pic>
            </a:graphicData>
          </a:graphic>
        </wp:inline>
      </w:drawing>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D5490"/>
    <w:multiLevelType w:val="multilevel"/>
    <w:tmpl w:val="0C2D5490"/>
    <w:lvl w:ilvl="0" w:tentative="0">
      <w:start w:val="1"/>
      <w:numFmt w:val="decimal"/>
      <w:lvlText w:val="%1."/>
      <w:lvlJc w:val="left"/>
      <w:pPr>
        <w:ind w:left="941" w:hanging="420"/>
      </w:pPr>
      <w:rPr>
        <w:rFonts w:hint="default"/>
      </w:rPr>
    </w:lvl>
    <w:lvl w:ilvl="1" w:tentative="0">
      <w:start w:val="1"/>
      <w:numFmt w:val="bullet"/>
      <w:lvlText w:val=""/>
      <w:lvlJc w:val="left"/>
      <w:pPr>
        <w:ind w:left="1361" w:hanging="420"/>
      </w:pPr>
      <w:rPr>
        <w:rFonts w:hint="default" w:ascii="Wingdings" w:hAnsi="Wingdings"/>
      </w:rPr>
    </w:lvl>
    <w:lvl w:ilvl="2" w:tentative="0">
      <w:start w:val="1"/>
      <w:numFmt w:val="bullet"/>
      <w:lvlText w:val=""/>
      <w:lvlJc w:val="left"/>
      <w:pPr>
        <w:ind w:left="1781" w:hanging="420"/>
      </w:pPr>
      <w:rPr>
        <w:rFonts w:hint="default" w:ascii="Wingdings" w:hAnsi="Wingdings"/>
      </w:rPr>
    </w:lvl>
    <w:lvl w:ilvl="3" w:tentative="0">
      <w:start w:val="1"/>
      <w:numFmt w:val="bullet"/>
      <w:lvlText w:val=""/>
      <w:lvlJc w:val="left"/>
      <w:pPr>
        <w:ind w:left="2201" w:hanging="420"/>
      </w:pPr>
      <w:rPr>
        <w:rFonts w:hint="default" w:ascii="Wingdings" w:hAnsi="Wingdings"/>
      </w:rPr>
    </w:lvl>
    <w:lvl w:ilvl="4" w:tentative="0">
      <w:start w:val="1"/>
      <w:numFmt w:val="bullet"/>
      <w:lvlText w:val=""/>
      <w:lvlJc w:val="left"/>
      <w:pPr>
        <w:ind w:left="2621" w:hanging="420"/>
      </w:pPr>
      <w:rPr>
        <w:rFonts w:hint="default" w:ascii="Wingdings" w:hAnsi="Wingdings"/>
      </w:rPr>
    </w:lvl>
    <w:lvl w:ilvl="5" w:tentative="0">
      <w:start w:val="1"/>
      <w:numFmt w:val="bullet"/>
      <w:lvlText w:val=""/>
      <w:lvlJc w:val="left"/>
      <w:pPr>
        <w:ind w:left="3041" w:hanging="420"/>
      </w:pPr>
      <w:rPr>
        <w:rFonts w:hint="default" w:ascii="Wingdings" w:hAnsi="Wingdings"/>
      </w:rPr>
    </w:lvl>
    <w:lvl w:ilvl="6" w:tentative="0">
      <w:start w:val="1"/>
      <w:numFmt w:val="bullet"/>
      <w:lvlText w:val=""/>
      <w:lvlJc w:val="left"/>
      <w:pPr>
        <w:ind w:left="3461" w:hanging="420"/>
      </w:pPr>
      <w:rPr>
        <w:rFonts w:hint="default" w:ascii="Wingdings" w:hAnsi="Wingdings"/>
      </w:rPr>
    </w:lvl>
    <w:lvl w:ilvl="7" w:tentative="0">
      <w:start w:val="1"/>
      <w:numFmt w:val="bullet"/>
      <w:lvlText w:val=""/>
      <w:lvlJc w:val="left"/>
      <w:pPr>
        <w:ind w:left="3881" w:hanging="420"/>
      </w:pPr>
      <w:rPr>
        <w:rFonts w:hint="default" w:ascii="Wingdings" w:hAnsi="Wingdings"/>
      </w:rPr>
    </w:lvl>
    <w:lvl w:ilvl="8" w:tentative="0">
      <w:start w:val="1"/>
      <w:numFmt w:val="bullet"/>
      <w:lvlText w:val=""/>
      <w:lvlJc w:val="left"/>
      <w:pPr>
        <w:ind w:left="4301"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NzY3YWY3OTY3YzhkODczY2U1M2I0ZDcyZjBkNTcifQ=="/>
  </w:docVars>
  <w:rsids>
    <w:rsidRoot w:val="12532209"/>
    <w:rsid w:val="04E645E8"/>
    <w:rsid w:val="08ED4C89"/>
    <w:rsid w:val="103A65E0"/>
    <w:rsid w:val="10E91628"/>
    <w:rsid w:val="12532209"/>
    <w:rsid w:val="1CDD5EAD"/>
    <w:rsid w:val="1FDB4E8A"/>
    <w:rsid w:val="22726F75"/>
    <w:rsid w:val="244662C7"/>
    <w:rsid w:val="2A9C1216"/>
    <w:rsid w:val="2C997AD4"/>
    <w:rsid w:val="2E48356D"/>
    <w:rsid w:val="2F263BA4"/>
    <w:rsid w:val="33141748"/>
    <w:rsid w:val="3981544B"/>
    <w:rsid w:val="3FE76D5D"/>
    <w:rsid w:val="418038F5"/>
    <w:rsid w:val="493C5C39"/>
    <w:rsid w:val="4B9C7588"/>
    <w:rsid w:val="4D402F0C"/>
    <w:rsid w:val="51BA5C7F"/>
    <w:rsid w:val="5509696D"/>
    <w:rsid w:val="5BA72EB3"/>
    <w:rsid w:val="5C180C4C"/>
    <w:rsid w:val="60BA2D13"/>
    <w:rsid w:val="64566B02"/>
    <w:rsid w:val="64DF0625"/>
    <w:rsid w:val="65F87BE4"/>
    <w:rsid w:val="66305D55"/>
    <w:rsid w:val="66807361"/>
    <w:rsid w:val="69681F0C"/>
    <w:rsid w:val="6B76255B"/>
    <w:rsid w:val="6BB11562"/>
    <w:rsid w:val="724A32B7"/>
    <w:rsid w:val="76D83018"/>
    <w:rsid w:val="76ED7D45"/>
    <w:rsid w:val="78EA0CEC"/>
    <w:rsid w:val="79967556"/>
    <w:rsid w:val="7C503F7A"/>
    <w:rsid w:val="7D2C6CBD"/>
    <w:rsid w:val="7E902A51"/>
    <w:rsid w:val="7ECE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ocked="1"/>
    <w:lsdException w:qFormat="1" w:unhideWhenUsed="0" w:uiPriority="0" w:semiHidden="0" w:name="footer" w:locked="1"/>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20" w:after="80" w:line="240" w:lineRule="auto"/>
      <w:jc w:val="center"/>
      <w:outlineLvl w:val="0"/>
    </w:pPr>
    <w:rPr>
      <w:rFonts w:ascii="Calibri Light" w:hAnsi="Calibri Light"/>
      <w:color w:val="2D73B3"/>
      <w:sz w:val="40"/>
      <w:szCs w:val="4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sz w:val="28"/>
    </w:rPr>
  </w:style>
  <w:style w:type="paragraph" w:styleId="5">
    <w:name w:val="footer"/>
    <w:basedOn w:val="1"/>
    <w:qFormat/>
    <w:locked/>
    <w:uiPriority w:val="0"/>
    <w:pPr>
      <w:tabs>
        <w:tab w:val="center" w:pos="4153"/>
        <w:tab w:val="right" w:pos="8306"/>
      </w:tabs>
      <w:snapToGrid w:val="0"/>
      <w:jc w:val="left"/>
    </w:pPr>
    <w:rPr>
      <w:sz w:val="18"/>
    </w:rPr>
  </w:style>
  <w:style w:type="paragraph" w:styleId="6">
    <w:name w:val="header"/>
    <w:basedOn w:val="1"/>
    <w:qFormat/>
    <w:lock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page number"/>
    <w:basedOn w:val="10"/>
    <w:qFormat/>
    <w:uiPriority w:val="99"/>
  </w:style>
  <w:style w:type="character" w:styleId="13">
    <w:name w:val="Emphasis"/>
    <w:qFormat/>
    <w:uiPriority w:val="0"/>
    <w:rPr>
      <w:rFonts w:cs="Times New Roman"/>
      <w:color w:val="CC0000"/>
    </w:rPr>
  </w:style>
  <w:style w:type="character" w:styleId="14">
    <w:name w:val="Hyperlink"/>
    <w:basedOn w:val="10"/>
    <w:qFormat/>
    <w:uiPriority w:val="0"/>
    <w:rPr>
      <w:color w:val="0000FF"/>
      <w:u w:val="single"/>
    </w:rPr>
  </w:style>
  <w:style w:type="character" w:customStyle="1" w:styleId="15">
    <w:name w:val="style9"/>
    <w:basedOn w:val="10"/>
    <w:qFormat/>
    <w:uiPriority w:val="0"/>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svg"/><Relationship Id="rId8" Type="http://schemas.openxmlformats.org/officeDocument/2006/relationships/image" Target="media/image5.png"/><Relationship Id="rId7" Type="http://schemas.openxmlformats.org/officeDocument/2006/relationships/image" Target="media/image4.sv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svg"/><Relationship Id="rId16" Type="http://schemas.openxmlformats.org/officeDocument/2006/relationships/image" Target="media/image13.png"/><Relationship Id="rId15" Type="http://schemas.openxmlformats.org/officeDocument/2006/relationships/image" Target="media/image12.svg"/><Relationship Id="rId14" Type="http://schemas.openxmlformats.org/officeDocument/2006/relationships/image" Target="media/image11.png"/><Relationship Id="rId13" Type="http://schemas.openxmlformats.org/officeDocument/2006/relationships/image" Target="media/image10.svg"/><Relationship Id="rId12" Type="http://schemas.openxmlformats.org/officeDocument/2006/relationships/image" Target="media/image9.png"/><Relationship Id="rId11" Type="http://schemas.openxmlformats.org/officeDocument/2006/relationships/image" Target="media/image8.sv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3013</Words>
  <Characters>3283</Characters>
  <Lines>0</Lines>
  <Paragraphs>0</Paragraphs>
  <TotalTime>6</TotalTime>
  <ScaleCrop>false</ScaleCrop>
  <LinksUpToDate>false</LinksUpToDate>
  <CharactersWithSpaces>3380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2020-12-03T01:40:00Z</dcterms:created>
  <dc:creator>李文娜</dc:creator>
  <cp:lastModifiedBy>张洁Grace</cp:lastModifiedBy>
  <dcterms:modified xsi:type="dcterms:W3CDTF">2024-09-29T06:24:13Z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338DB4DE28634AE2BCC2B5EBE99B8D83</vt:lpwstr>
  </property>
</Properties>
</file>