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0.svg" ContentType="image/svg+xml"/>
  <Override PartName="/word/media/image12.svg" ContentType="image/svg+xml"/>
  <Override PartName="/word/media/image14.svg" ContentType="image/svg+xml"/>
  <Override PartName="/word/media/image4.svg" ContentType="image/svg+xml"/>
  <Override PartName="/word/media/image5.svg" ContentType="image/svg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6D94A">
      <w:pPr>
        <w:spacing w:before="624" w:beforeLines="200" w:after="312" w:afterLines="100" w:line="300" w:lineRule="exact"/>
        <w:ind w:left="132" w:leftChars="-35" w:right="166" w:rightChars="79" w:hanging="205" w:hangingChars="49"/>
        <w:jc w:val="center"/>
        <w:rPr>
          <w:rFonts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新海关AEO高级认证标准精讲与内部审计</w:t>
      </w:r>
    </w:p>
    <w:p w14:paraId="3EFCC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课程安排</w:t>
      </w:r>
    </w:p>
    <w:p w14:paraId="2E7FB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4月24-25日上海 7月24-25日上海 10月23-24日北京 12月18-19日上海</w:t>
      </w:r>
    </w:p>
    <w:p w14:paraId="2604052C">
      <w:pPr>
        <w:spacing w:line="360" w:lineRule="auto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本课程为线下面授班&amp;线上直播安排，可按需选择。</w:t>
      </w:r>
      <w:bookmarkStart w:id="3" w:name="_GoBack"/>
      <w:bookmarkEnd w:id="3"/>
    </w:p>
    <w:p w14:paraId="7C891E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ascii="微软雅黑" w:hAnsi="微软雅黑" w:eastAsia="微软雅黑" w:cs="微软雅黑"/>
          <w:color w:val="1F3863" w:themeColor="accent5" w:themeShade="7F"/>
          <w:spacing w:val="6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课程费用</w:t>
      </w:r>
    </w:p>
    <w:p w14:paraId="34633FFD">
      <w:pPr>
        <w:spacing w:after="156" w:afterLines="50" w:line="380" w:lineRule="exact"/>
        <w:ind w:left="8" w:leftChars="4" w:right="166" w:rightChars="79"/>
        <w:rPr>
          <w:rFonts w:ascii="黑体" w:hAnsi="黑体" w:eastAsia="黑体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￥4,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zCs w:val="21"/>
        </w:rPr>
        <w:t>00/人（含授课费、资料费、两天午餐费茶点、会务费等）</w:t>
      </w:r>
    </w:p>
    <w:p w14:paraId="5FDA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课程背景</w:t>
      </w:r>
    </w:p>
    <w:p w14:paraId="70038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2022年11月1日海关总署公告2022年第106号《海关高级认证企业标准》的实施，与原2021年88号公告《海关高级认证企业标准》出现了较大的调整，有优化、整合、删除、新增等变化。</w:t>
      </w:r>
    </w:p>
    <w:p w14:paraId="7B6DC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对企业需要进行升级成为海关AE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O</w:t>
      </w:r>
      <w:r>
        <w:rPr>
          <w:rFonts w:hint="eastAsia" w:ascii="微软雅黑" w:hAnsi="微软雅黑" w:eastAsia="微软雅黑" w:cs="微软雅黑"/>
          <w:szCs w:val="21"/>
        </w:rPr>
        <w:t>高级认证企业，接受海关五年一次重新认证的AEO高级认证企业，及海关AEO高级认证企业每年的AEO高级认证标准持续复核性开展内部审计的，都将要适用于新的海关AEO高级认证标准。</w:t>
      </w:r>
    </w:p>
    <w:p w14:paraId="6ADAF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20" w:firstLineChars="200"/>
        <w:textAlignment w:val="auto"/>
        <w:rPr>
          <w:rFonts w:hint="eastAsia" w:ascii="黑体" w:hAnsi="黑体" w:eastAsia="黑体" w:cstheme="majorEastAsia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本课程从新的海关AEO高级认证标准为基准，对持续符合海关AEO高级认证标准的要求及进出口活动内部审核要求进行全方位讲解。</w:t>
      </w:r>
    </w:p>
    <w:p w14:paraId="550D6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课程收益</w:t>
      </w:r>
    </w:p>
    <w:p w14:paraId="66999D4D"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建立AEO内审体系架构</w:t>
      </w:r>
    </w:p>
    <w:p w14:paraId="1904C699"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解析AEO认证实施要领</w:t>
      </w:r>
    </w:p>
    <w:p w14:paraId="18E6E7B8"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进出口活动风险主要类型</w:t>
      </w:r>
    </w:p>
    <w:p w14:paraId="67B4D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进出口活动审核要点分析</w:t>
      </w:r>
    </w:p>
    <w:p w14:paraId="742EB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参加对象</w:t>
      </w:r>
    </w:p>
    <w:p w14:paraId="3DB0D6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海关信用管理涉及到企业经营管理全流程，建议涉外企业高级管理人员及物流部、财务部、报关部、供应链管理部、采购部、审计、合规等部门相关人员。贸易安全高级管理人员务必参与。本次培训根据海关新认证标准要求进行全面分析，逐条剖析，确保企业根据新的认证标准要求落实所有的工作。</w:t>
      </w:r>
    </w:p>
    <w:p w14:paraId="75167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课程大纲 </w:t>
      </w:r>
    </w:p>
    <w:p w14:paraId="2572DF60">
      <w:pPr>
        <w:spacing w:before="156" w:beforeLines="50" w:line="50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28575</wp:posOffset>
            </wp:positionV>
            <wp:extent cx="316865" cy="271145"/>
            <wp:effectExtent l="0" t="0" r="6985" b="15240"/>
            <wp:wrapSquare wrapText="bothSides"/>
            <wp:docPr id="2" name="图片 2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3b32303031303331383bcae9bca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</w:rPr>
        <w:t>一、新AEO认证标准概述</w:t>
      </w:r>
    </w:p>
    <w:p w14:paraId="0F84BDD5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14605</wp:posOffset>
                </wp:positionV>
                <wp:extent cx="61245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9610" y="7560310"/>
                          <a:ext cx="61245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1.15pt;height:0pt;width:482.25pt;z-index:251666432;mso-width-relative:page;mso-height-relative:page;" filled="f" stroked="t" coordsize="21600,21600" o:gfxdata="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X952nSAAAABAEAAA8AAAAA&#10;AAAAAQAgAAAAIgAAAGRycy9kb3ducmV2LnhtbFBLAQIUABQAAAAIAIdO4kBU+kJ8jAIAAMcFAAAO&#10;AAAAAAAAAAEAIAAAACEBAABkcnMvZTJvRG9jLnhtbFBLBQYAAAAABgAGAFkBAAAf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海关总署251号令的新规变化</w:t>
      </w:r>
    </w:p>
    <w:p w14:paraId="3AB1F5BC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海关总署2022年第106号公告解析</w:t>
      </w:r>
    </w:p>
    <w:p w14:paraId="55009FB9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新海关AEO高级认证标准给企业带来影响</w:t>
      </w:r>
    </w:p>
    <w:p w14:paraId="1C29C85C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106号公告AEO通用专用标准介绍</w:t>
      </w:r>
    </w:p>
    <w:p w14:paraId="4B1785BA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新旧AEO高级认证标准对比分析</w:t>
      </w:r>
    </w:p>
    <w:p w14:paraId="2ADE13A9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新AEO高级认证标准内部控制变化解析</w:t>
      </w:r>
    </w:p>
    <w:p w14:paraId="1DE05D5A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新AEO高级认证标准财务状况变化解析</w:t>
      </w:r>
    </w:p>
    <w:p w14:paraId="1F109029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新AEO高级认证标准守法规范变化解析</w:t>
      </w:r>
    </w:p>
    <w:p w14:paraId="6D237A52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新AEO高级认证标准贸易安全变化解析</w:t>
      </w:r>
    </w:p>
    <w:p w14:paraId="1BB943D7">
      <w:pPr>
        <w:spacing w:before="156" w:beforeLines="50" w:line="50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123825</wp:posOffset>
            </wp:positionV>
            <wp:extent cx="316865" cy="271145"/>
            <wp:effectExtent l="0" t="0" r="6985" b="15240"/>
            <wp:wrapSquare wrapText="bothSides"/>
            <wp:docPr id="4" name="图片 4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03b32303031303331383bcae9bca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</w:rPr>
        <w:t>二、AEO认证升级/重认内审体系</w:t>
      </w:r>
    </w:p>
    <w:p w14:paraId="52AF5014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20320</wp:posOffset>
                </wp:positionV>
                <wp:extent cx="612457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1.6pt;height:0pt;width:482.25pt;z-index:251662336;mso-width-relative:page;mso-height-relative:page;" filled="f" stroked="t" coordsize="21600,21600" o:gfxdata="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lx9e/UAAAABgEAAA8AAAAAAAAAAQAgAAAA&#10;IgAAAGRycy9kb3ducmV2LnhtbFBLAQIUABQAAAAIAIdO4kCaK1mlgQIAALwFAAAOAAAAAAAAAAEA&#10;IAAAACMBAABkcnMvZTJvRG9jLnhtbFBLBQYAAAAABgAGAFkBAAAW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</w:rPr>
        <w:t>AEO内部审计制度建立</w:t>
      </w:r>
    </w:p>
    <w:p w14:paraId="3A269E0C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AEO内部审计小组建立</w:t>
      </w:r>
    </w:p>
    <w:p w14:paraId="55F6F94D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AEO内部审计计划安排</w:t>
      </w:r>
    </w:p>
    <w:p w14:paraId="1B0DCB1D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内部审计人员应具备的条件</w:t>
      </w:r>
    </w:p>
    <w:p w14:paraId="6B306285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AEO内部审计的组织与准备</w:t>
      </w:r>
    </w:p>
    <w:p w14:paraId="39C4AE71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AEO内部审计方法介绍</w:t>
      </w:r>
    </w:p>
    <w:p w14:paraId="196B8C49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AEO认证标准的评分方法</w:t>
      </w:r>
    </w:p>
    <w:p w14:paraId="4C78F7C6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AEO认证审核报告编写</w:t>
      </w:r>
    </w:p>
    <w:p w14:paraId="0E7C2936">
      <w:pPr>
        <w:spacing w:before="156" w:beforeLines="50" w:line="50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123825</wp:posOffset>
            </wp:positionV>
            <wp:extent cx="316865" cy="271145"/>
            <wp:effectExtent l="0" t="0" r="6985" b="15240"/>
            <wp:wrapSquare wrapText="bothSides"/>
            <wp:docPr id="5" name="图片 5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03b32303031303331383bcae9bca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</w:rPr>
        <w:t>三、AEO认证升级/重认实施要点</w:t>
      </w:r>
    </w:p>
    <w:p w14:paraId="6B415E26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33020</wp:posOffset>
                </wp:positionV>
                <wp:extent cx="612457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.6pt;height:0pt;width:482.25pt;z-index:251661312;mso-width-relative:page;mso-height-relative:page;" filled="f" stroked="t" coordsize="21600,21600" o:gfxdata="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ONKfdMAAAAFAQAADwAAAAAAAAABACAAAAAi&#10;AAAAZHJzL2Rvd25yZXYueG1sUEsBAhQAFAAAAAgAh07iQKnT+ryBAgAAvAUAAA4AAAAAAAAAAQAg&#10;AAAAIgEAAGRycy9lMm9Eb2MueG1sUEsFBgAAAAAGAAYAWQEAABU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</w:rPr>
        <w:t>关企沟通合作机制要点分析</w:t>
      </w:r>
    </w:p>
    <w:p w14:paraId="25062249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内部组织架构的审核要点分析</w:t>
      </w:r>
    </w:p>
    <w:p w14:paraId="1EA4E59D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单证复核审核深度与尺度</w:t>
      </w:r>
    </w:p>
    <w:p w14:paraId="0EF9680C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单证保管制度与要求</w:t>
      </w:r>
    </w:p>
    <w:p w14:paraId="1AD1249B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禁止了类商品合规审查要求</w:t>
      </w:r>
    </w:p>
    <w:p w14:paraId="0B441B88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进出口检验检疫商品管理要求</w:t>
      </w:r>
    </w:p>
    <w:p w14:paraId="5D73624D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信息系统要求与审核要点</w:t>
      </w:r>
    </w:p>
    <w:p w14:paraId="11538FBF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信息系统穿行测试要求</w:t>
      </w:r>
    </w:p>
    <w:p w14:paraId="497B19B7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信息安全管理要求分析</w:t>
      </w:r>
    </w:p>
    <w:p w14:paraId="2AF4823E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进出口活动内部审计分析</w:t>
      </w:r>
    </w:p>
    <w:p w14:paraId="5EC93146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AEO认证标准持续符合性审计分析</w:t>
      </w:r>
    </w:p>
    <w:p w14:paraId="23E87DDC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进出口问题改善与海关报告机制</w:t>
      </w:r>
    </w:p>
    <w:p w14:paraId="421B3363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财务审计报告与资产负责表</w:t>
      </w:r>
    </w:p>
    <w:p w14:paraId="0A84DD37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企业守法情况分析</w:t>
      </w:r>
    </w:p>
    <w:p w14:paraId="7088A038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企业管理要求与外部信用</w:t>
      </w:r>
    </w:p>
    <w:p w14:paraId="1ACB5E14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经营场所建筑结构防止非法闯入</w:t>
      </w:r>
    </w:p>
    <w:p w14:paraId="50B81E72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人脸识别与门径管理要求</w:t>
      </w:r>
    </w:p>
    <w:p w14:paraId="6CFC107F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锁闭装置与钥匙管理要求</w:t>
      </w:r>
    </w:p>
    <w:p w14:paraId="08134288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经营场所充足照明设置要求</w:t>
      </w:r>
    </w:p>
    <w:p w14:paraId="7CC302CC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出入口进出口检查管理要求</w:t>
      </w:r>
    </w:p>
    <w:p w14:paraId="2F558383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单证存放区域受控管理要求</w:t>
      </w:r>
    </w:p>
    <w:p w14:paraId="2E01F4CD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货物存放区域受控管理要求</w:t>
      </w:r>
    </w:p>
    <w:p w14:paraId="0A82D199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视频监控设置追溯与保存要求</w:t>
      </w:r>
    </w:p>
    <w:p w14:paraId="520675FC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员工管理制度与动态清单</w:t>
      </w:r>
    </w:p>
    <w:p w14:paraId="417A0862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拟聘人员违法记录调查</w:t>
      </w:r>
    </w:p>
    <w:p w14:paraId="5F2EFBC1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敏感岗位定期背景调查</w:t>
      </w:r>
    </w:p>
    <w:p w14:paraId="0CFBD6D3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员工与访客出入安全管理</w:t>
      </w:r>
    </w:p>
    <w:p w14:paraId="0C51F925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集装箱检查与封条管理</w:t>
      </w:r>
    </w:p>
    <w:p w14:paraId="1D777A4C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货物与集装箱存放管理</w:t>
      </w:r>
    </w:p>
    <w:p w14:paraId="42758222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提离与接收货物核对签收管理</w:t>
      </w:r>
    </w:p>
    <w:p w14:paraId="14A31681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运输工具安全检查与司机管理</w:t>
      </w:r>
    </w:p>
    <w:p w14:paraId="1BB3F2FA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商业伙伴供应链安全评估</w:t>
      </w:r>
    </w:p>
    <w:p w14:paraId="13613702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商业伙伴贸易安全协议与定期检查</w:t>
      </w:r>
    </w:p>
    <w:p w14:paraId="695AF55C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海关法律法规培训与执行</w:t>
      </w:r>
    </w:p>
    <w:p w14:paraId="47E1F44D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国际贸易供应链安全培训</w:t>
      </w:r>
    </w:p>
    <w:p w14:paraId="5C36486F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危机管理培训与模拟演练</w:t>
      </w:r>
    </w:p>
    <w:p w14:paraId="5F512143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信息安全与保密意识教育和培训</w:t>
      </w:r>
    </w:p>
    <w:p w14:paraId="7675B3AF">
      <w:pPr>
        <w:spacing w:before="156" w:beforeLines="50" w:line="50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123825</wp:posOffset>
            </wp:positionV>
            <wp:extent cx="316865" cy="271145"/>
            <wp:effectExtent l="0" t="0" r="6985" b="15240"/>
            <wp:wrapSquare wrapText="bothSides"/>
            <wp:docPr id="10" name="图片 10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03b32303031303331383bcae9bca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</w:rPr>
        <w:t>四、进出口活动内审体系</w:t>
      </w:r>
    </w:p>
    <w:p w14:paraId="54764DE4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33020</wp:posOffset>
                </wp:positionV>
                <wp:extent cx="612457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.6pt;height:0pt;width:482.25pt;z-index:251669504;mso-width-relative:page;mso-height-relative:page;" filled="f" stroked="t" coordsize="21600,21600" o:gfxdata="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440p90wAAAAUBAAAPAAAAAAAAAAEAIAAAACIA&#10;AABkcnMvZG93bnJldi54bWxQSwECFAAUAAAACACHTuJAV+KiQoACAAC8BQAADgAAAAAAAAABACAA&#10;AAAiAQAAZHJzL2Uyb0RvYy54bWxQSwUGAAAAAAYABgBZAQAAFA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</w:rPr>
        <w:t>进出口活动内部审计制度建立</w:t>
      </w:r>
    </w:p>
    <w:p w14:paraId="16874E43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进出口活动内部审计小组建立</w:t>
      </w:r>
    </w:p>
    <w:p w14:paraId="4EB4AEE5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进出口活动内部审计划安排</w:t>
      </w:r>
    </w:p>
    <w:p w14:paraId="7637B6AC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内部审计人员应具备的条件</w:t>
      </w:r>
    </w:p>
    <w:p w14:paraId="2192C1A4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进出口活动审计的组织与准备</w:t>
      </w:r>
    </w:p>
    <w:p w14:paraId="3367CA11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进出口活动内部审计方法介绍</w:t>
      </w:r>
    </w:p>
    <w:p w14:paraId="2918ED48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进出口活动内部审核报告编写</w:t>
      </w:r>
    </w:p>
    <w:p w14:paraId="2DD708DA">
      <w:pPr>
        <w:spacing w:before="156" w:beforeLines="50" w:line="50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126365</wp:posOffset>
            </wp:positionV>
            <wp:extent cx="316865" cy="271145"/>
            <wp:effectExtent l="0" t="0" r="6985" b="15240"/>
            <wp:wrapSquare wrapText="bothSides"/>
            <wp:docPr id="7" name="图片 7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03b32303031303331383bcae9bca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</w:rPr>
        <w:t>五、进出口活动审核实施要点</w:t>
      </w:r>
    </w:p>
    <w:p w14:paraId="3C4A5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16510</wp:posOffset>
                </wp:positionV>
                <wp:extent cx="612457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1.3pt;height:0pt;width:482.25pt;z-index:251660288;mso-width-relative:page;mso-height-relative:page;" filled="f" stroked="t" coordsize="21600,21600" o:gfxdata="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msAQftMAAAAGAQAADwAAAAAAAAABACAAAAAi&#10;AAAAZHJzL2Rvd25yZXYueG1sUEsBAhQAFAAAAAgAh07iQDA7kfCBAgAAvAUAAA4AAAAAAAAAAQAg&#10;AAAAIgEAAGRycy9lMm9Eb2MueG1sUEsFBgAAAAAGAAYAWQEAABU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进出口业务的主要风险类型</w:t>
      </w:r>
    </w:p>
    <w:p w14:paraId="6F090935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商品编码申报准确性审核</w:t>
      </w:r>
    </w:p>
    <w:p w14:paraId="3C4ECC3B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规范申报要素申报审核</w:t>
      </w:r>
    </w:p>
    <w:p w14:paraId="386815E5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商品价格与币制申报审核</w:t>
      </w:r>
    </w:p>
    <w:p w14:paraId="36A8119E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运保费申报准确性审核</w:t>
      </w:r>
    </w:p>
    <w:p w14:paraId="7C8BF2C0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商品数量申报准确性审核</w:t>
      </w:r>
    </w:p>
    <w:p w14:paraId="2C229069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特许权使用费申报审核</w:t>
      </w:r>
    </w:p>
    <w:p w14:paraId="0E64BD9B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原产地申报准确审核</w:t>
      </w:r>
    </w:p>
    <w:p w14:paraId="4A7AD94F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法检商品审核要点</w:t>
      </w:r>
    </w:p>
    <w:p w14:paraId="630877FB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其他进出口申报审核</w:t>
      </w:r>
    </w:p>
    <w:p w14:paraId="01DEDC60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加工贸易保税业务的主要风险类型</w:t>
      </w:r>
    </w:p>
    <w:p w14:paraId="526D5A1C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加工贸易保税货物存储管理审核</w:t>
      </w:r>
    </w:p>
    <w:p w14:paraId="4D3E2F14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加工贸易保税成品单耗审核</w:t>
      </w:r>
    </w:p>
    <w:p w14:paraId="0870B92E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加工贸易保税货物内销审核</w:t>
      </w:r>
    </w:p>
    <w:p w14:paraId="0F997026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加工贸易保税货物外发加工审核</w:t>
      </w:r>
    </w:p>
    <w:p w14:paraId="1240C338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加工贸易保税货物深加工结转审核</w:t>
      </w:r>
    </w:p>
    <w:p w14:paraId="21BE8797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加工贸易保税残次品处置审核</w:t>
      </w:r>
    </w:p>
    <w:p w14:paraId="692456AB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加工贸易保税边角料处置审核</w:t>
      </w:r>
    </w:p>
    <w:p w14:paraId="2E3B3E76">
      <w:pPr>
        <w:widowControl/>
        <w:tabs>
          <w:tab w:val="left" w:pos="993"/>
        </w:tabs>
        <w:spacing w:line="38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Cs w:val="21"/>
        </w:rPr>
        <w:t>减免税货物使用处置审核</w:t>
      </w:r>
    </w:p>
    <w:p w14:paraId="4BF230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讲师介绍</w:t>
      </w:r>
    </w:p>
    <w:p w14:paraId="4FC7B83D">
      <w:pP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r>
        <w:rPr>
          <w:sz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113030</wp:posOffset>
            </wp:positionV>
            <wp:extent cx="1323975" cy="1600200"/>
            <wp:effectExtent l="0" t="0" r="0" b="0"/>
            <wp:wrapSquare wrapText="bothSides"/>
            <wp:docPr id="3" name="图片 3" descr="166424575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4245755236"/>
                    <pic:cNvPicPr>
                      <a:picLocks noChangeAspect="1"/>
                    </pic:cNvPicPr>
                  </pic:nvPicPr>
                  <pic:blipFill>
                    <a:blip r:embed="rId9"/>
                    <a:srcRect l="6749" r="691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蒋海帆</w:t>
      </w:r>
    </w:p>
    <w:p w14:paraId="2444FC0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textAlignment w:val="auto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蒋老师--- 国际注册内部审计师、注册国际贸易合规师、进出口商品预归类师 </w:t>
      </w:r>
    </w:p>
    <w:p w14:paraId="353AA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十年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（2003.03-2012.12）外资生产型企业物流经理人，管理企业物流、关务、仓库等部门，负责企业对外贸易进出口业务、加工贸易保税业务、物流仓储业务、企业贸易合规管理等，有着丰富的企业管理经验。</w:t>
      </w:r>
    </w:p>
    <w:p w14:paraId="4B2C2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十年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（2013.03-至今）会计师事务所及咨询公司合伙人，从事海关业务审计，负责对进出口业务审计、加工贸易保税业务审计、保税成品单耗专项审计、保税货物内销专项审计、AEO认证标准专项审计、特许权使用费审计、完税价格专项审计、运保费专项审计、商品编码专项审计、转移定价专项审计等，积累了丰富的海关业务风险审计经验。</w:t>
      </w:r>
    </w:p>
    <w:p w14:paraId="79992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八年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（2015.03-至今）协助海关稽核查，接受海关委托，对企业进出口商品编码、商品价格、运保费、特许权使用费、转移定价、保税库存盘点、保税成品单耗、保税货物内销、保税货物外发加工、保税货物串料、保税货物短少、保税货物处置、AEO认证标准等进行专项稽查。</w:t>
      </w:r>
    </w:p>
    <w:p w14:paraId="38A16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十四年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（2009-至今）海关业务培训，擅长《企业进出口业务稽查风险与合规管理》、《企业加工贸易保税业务稽查风险与合规管理》、《企业AEO高级认证标准精讲与案例分析》、《企业进出口活动内部审计》、《海关估价特许权使用费与转移定价》等培训。</w:t>
      </w:r>
    </w:p>
    <w:p w14:paraId="41AC4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在企业加工贸易保税管理、进出口管理、贸易合规管理、海关稽查、AEO认证、特许权使用费、海关估价等方面积累了丰富的经验。对企业海关事务合规作业与风险管控有独到的见解和方法。</w:t>
      </w:r>
    </w:p>
    <w:p w14:paraId="5EC48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代表著作《企业进出口活动内部审计方法与技巧》2019年9月出版， 《企业AEO认证与进出口活动内控体系筹划》2020年6月发行。</w:t>
      </w:r>
      <w:bookmarkEnd w:id="0"/>
    </w:p>
    <w:p w14:paraId="2FBC7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联系我们</w:t>
      </w:r>
    </w:p>
    <w:p w14:paraId="23A7C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1" w:name="_Hlk27470541"/>
      <w:bookmarkStart w:id="2" w:name="_Hlk27485291"/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28575</wp:posOffset>
            </wp:positionV>
            <wp:extent cx="156845" cy="163830"/>
            <wp:effectExtent l="0" t="0" r="14605" b="7620"/>
            <wp:wrapSquare wrapText="bothSides"/>
            <wp:docPr id="6" name="图片 6" descr="303b333633323435343bc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3b333633323435343bc8cb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Name：</w:t>
      </w:r>
    </w:p>
    <w:p w14:paraId="6969C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47625</wp:posOffset>
            </wp:positionV>
            <wp:extent cx="130175" cy="203835"/>
            <wp:effectExtent l="0" t="0" r="3175" b="5715"/>
            <wp:wrapSquare wrapText="bothSides"/>
            <wp:docPr id="52" name="图片 52" descr="303b333633363731363bb5e7b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303b333633363731363bb5e7bbb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Tel:</w:t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 w14:paraId="1DBCA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44450</wp:posOffset>
            </wp:positionV>
            <wp:extent cx="123825" cy="209550"/>
            <wp:effectExtent l="0" t="0" r="9525" b="0"/>
            <wp:wrapSquare wrapText="bothSides"/>
            <wp:docPr id="54" name="图片 54" descr="303b333733323739373bcad6b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303b333733323739373bcad6bbfa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Mobil:</w:t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 w14:paraId="0F71A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47625</wp:posOffset>
            </wp:positionV>
            <wp:extent cx="201295" cy="201295"/>
            <wp:effectExtent l="0" t="0" r="8255" b="6985"/>
            <wp:wrapTight wrapText="bothSides">
              <wp:wrapPolygon>
                <wp:start x="0" y="3952"/>
                <wp:lineTo x="0" y="19760"/>
                <wp:lineTo x="19760" y="19760"/>
                <wp:lineTo x="19760" y="3952"/>
                <wp:lineTo x="0" y="3952"/>
              </wp:wrapPolygon>
            </wp:wrapTight>
            <wp:docPr id="55" name="图片 55" descr="303b343632393039323bd3cac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303b343632393039323bd3cacfe4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Mail：</w:t>
      </w:r>
    </w:p>
    <w:p w14:paraId="508D6442">
      <w:pPr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171450</wp:posOffset>
                </wp:positionV>
                <wp:extent cx="6229350" cy="0"/>
                <wp:effectExtent l="0" t="6350" r="0" b="63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13.5pt;height:0pt;width:490.5pt;z-index:251671552;mso-width-relative:page;mso-height-relative:page;" filled="f" stroked="t" coordsize="21600,21600" o:gfxdata="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b9mE3VAAAABwEAAA8AAAAA&#10;AAAAAQAgAAAAIgAAAGRycy9kb3ducmV2LnhtbFBLAQIUABQAAAAIAIdO4kAHww61iQIAAMsFAAAO&#10;AAAAAAAAAAEAIAAAACQBAABkcnMvZTJvRG9jLnhtbFBLBQYAAAAABgAGAFkBAAAfBg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26F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43413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64707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0229A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eastAsia="微软雅黑 Light"/>
          <w:b/>
          <w:bCs/>
          <w:color w:val="262626" w:themeColor="text1" w:themeTint="D9"/>
          <w:sz w:val="36"/>
          <w:szCs w:val="36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  <w:t>公开课报名表</w:t>
      </w:r>
    </w:p>
    <w:p w14:paraId="4AC85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我报名参加以下博润课程 / Please Register Me for the Following Brain consulting Seminar of:</w:t>
      </w:r>
    </w:p>
    <w:p w14:paraId="013D8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报名学员信息 / Registrant Information:</w:t>
      </w:r>
    </w:p>
    <w:tbl>
      <w:tblPr>
        <w:tblStyle w:val="6"/>
        <w:tblpPr w:leftFromText="180" w:rightFromText="180" w:vertAnchor="text" w:horzAnchor="page" w:tblpX="1216" w:tblpY="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3"/>
        <w:gridCol w:w="1052"/>
        <w:gridCol w:w="194"/>
        <w:gridCol w:w="1304"/>
        <w:gridCol w:w="1573"/>
        <w:gridCol w:w="2631"/>
      </w:tblGrid>
      <w:tr w14:paraId="1DC4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D559A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公司全称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7259">
            <w:pPr>
              <w:spacing w:line="300" w:lineRule="exact"/>
              <w:ind w:left="210" w:leftChars="100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08B5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DAB5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参加人姓名</w:t>
            </w:r>
          </w:p>
          <w:p w14:paraId="19EA6849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Name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3E1F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性别</w:t>
            </w:r>
          </w:p>
          <w:p w14:paraId="11294DF7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Gender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77C0E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职务</w:t>
            </w:r>
          </w:p>
          <w:p w14:paraId="6EF43659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Job Title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B51B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电话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Telephone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DD66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手机</w:t>
            </w:r>
          </w:p>
          <w:p w14:paraId="1E1FB31C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Mobile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274C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邮 件</w:t>
            </w:r>
          </w:p>
          <w:p w14:paraId="0ACBB8A9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E-Mail</w:t>
            </w:r>
          </w:p>
        </w:tc>
      </w:tr>
      <w:tr w14:paraId="1E8A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79D30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E3C02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B8E8D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2656D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D2F05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209C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28ED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906D4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8DA2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9DA79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A780E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1651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F34A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6511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4166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C7AA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2777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EE7D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AE83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CC79D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4D45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6CDF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  <w:p w14:paraId="7EAE5298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Payment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294C">
            <w:pPr>
              <w:spacing w:line="300" w:lineRule="exact"/>
              <w:ind w:left="210" w:firstLine="210" w:firstLineChars="10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请选择：  □ 转账       □ 现金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□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微信    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□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支付宝</w:t>
            </w:r>
          </w:p>
        </w:tc>
      </w:tr>
      <w:tr w14:paraId="333C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F3E3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  <w:p w14:paraId="55309816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与信息Payment information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9D51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账    户：北京博润伟业管理顾问有限公司</w:t>
            </w:r>
          </w:p>
          <w:p w14:paraId="05F6DE83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开户银行：华夏银行北京十里堡支行</w:t>
            </w:r>
          </w:p>
          <w:p w14:paraId="3F83272A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银行帐号：4046200001801900010060</w:t>
            </w:r>
          </w:p>
          <w:p w14:paraId="32BF84F7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地    址：北京市朝阳区东四环中路78号大成国际中心2号楼B0615</w:t>
            </w:r>
          </w:p>
        </w:tc>
      </w:tr>
      <w:tr w14:paraId="46C4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550E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发票提供给 Deliver Invoice to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3F62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□ HR   □ 学员 </w:t>
            </w:r>
          </w:p>
        </w:tc>
      </w:tr>
    </w:tbl>
    <w:p w14:paraId="7AD7ECDD">
      <w:pPr>
        <w:spacing w:line="300" w:lineRule="exact"/>
        <w:jc w:val="left"/>
        <w:rPr>
          <w:rFonts w:hint="eastAsia" w:ascii="微软雅黑" w:hAnsi="微软雅黑" w:eastAsia="微软雅黑" w:cs="微软雅黑"/>
          <w:lang w:val="en-US" w:eastAsia="zh-CN"/>
        </w:rPr>
        <w:sectPr>
          <w:headerReference r:id="rId3" w:type="default"/>
          <w:footerReference r:id="rId4" w:type="default"/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0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szCs w:val="21"/>
        </w:rPr>
        <w:t>如您有企业内训需求，请与我们联系； 该表可复制</w:t>
      </w:r>
      <w:bookmarkEnd w:id="1"/>
      <w:bookmarkEnd w:id="2"/>
    </w:p>
    <w:p w14:paraId="46B277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</w:p>
    <w:sectPr>
      <w:type w:val="continuous"/>
      <w:pgSz w:w="11906" w:h="16838"/>
      <w:pgMar w:top="0" w:right="1080" w:bottom="0" w:left="1080" w:header="567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D15F9">
    <w:pPr>
      <w:pStyle w:val="3"/>
      <w:jc w:val="center"/>
      <w:rPr>
        <w:rFonts w:ascii="微软雅黑" w:hAnsi="微软雅黑" w:eastAsia="微软雅黑" w:cs="微软雅黑"/>
        <w:color w:val="A6A6A6" w:themeColor="background1" w:themeShade="A6"/>
      </w:rPr>
    </w:pPr>
    <w:r>
      <w:rPr>
        <w:rFonts w:hint="eastAsia" w:ascii="微软雅黑" w:hAnsi="微软雅黑" w:eastAsia="微软雅黑" w:cs="微软雅黑"/>
        <w:color w:val="A6A6A6" w:themeColor="background1" w:themeShade="A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47625</wp:posOffset>
          </wp:positionH>
          <wp:positionV relativeFrom="page">
            <wp:posOffset>10273030</wp:posOffset>
          </wp:positionV>
          <wp:extent cx="7666990" cy="476885"/>
          <wp:effectExtent l="0" t="0" r="10160" b="18415"/>
          <wp:wrapNone/>
          <wp:docPr id="1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6669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A6A6A6" w:themeColor="background1" w:themeShade="A6"/>
      </w:rPr>
      <w:t>北京博润伟业管理顾问有限公司    Beijing Brain Management Consulting Co., Ltd.</w:t>
    </w:r>
  </w:p>
  <w:p w14:paraId="66D21390">
    <w:pPr>
      <w:pStyle w:val="3"/>
      <w:jc w:val="center"/>
      <w:rPr>
        <w:rFonts w:ascii="微软雅黑" w:hAnsi="微软雅黑" w:eastAsia="微软雅黑" w:cs="微软雅黑"/>
        <w:color w:val="A6A6A6" w:themeColor="background1" w:themeShade="A6"/>
      </w:rPr>
    </w:pPr>
    <w:r>
      <w:rPr>
        <w:rFonts w:hint="eastAsia" w:ascii="微软雅黑" w:hAnsi="微软雅黑" w:eastAsia="微软雅黑" w:cs="微软雅黑"/>
        <w:color w:val="A6A6A6" w:themeColor="background1" w:themeShade="A6"/>
      </w:rPr>
      <w:t>北京市朝阳区东四环中路78号金隅大成国际中心B2座06B15室   www.brwy.com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0E4D0">
    <w:pPr>
      <w:pStyle w:val="4"/>
      <w:pBdr>
        <w:bottom w:val="single" w:color="auto" w:sz="4" w:space="1"/>
      </w:pBdr>
    </w:pPr>
    <w:r>
      <w:rPr>
        <w:rFonts w:hint="eastAsia"/>
      </w:rPr>
      <w:drawing>
        <wp:inline distT="0" distB="0" distL="114300" distR="114300">
          <wp:extent cx="1336675" cy="412115"/>
          <wp:effectExtent l="0" t="0" r="15875" b="6985"/>
          <wp:docPr id="17" name="图片 17" descr="LOGO 无背景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LOGO 无背景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67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zY3YWY3OTY3YzhkODczY2U1M2I0ZDcyZjBkNTcifQ=="/>
  </w:docVars>
  <w:rsids>
    <w:rsidRoot w:val="12532209"/>
    <w:rsid w:val="0000763D"/>
    <w:rsid w:val="000E6C62"/>
    <w:rsid w:val="001E4F67"/>
    <w:rsid w:val="00305FF7"/>
    <w:rsid w:val="00316096"/>
    <w:rsid w:val="00327A71"/>
    <w:rsid w:val="0040680D"/>
    <w:rsid w:val="004366A4"/>
    <w:rsid w:val="004B053C"/>
    <w:rsid w:val="004C0A3D"/>
    <w:rsid w:val="005A0839"/>
    <w:rsid w:val="006718E2"/>
    <w:rsid w:val="00735544"/>
    <w:rsid w:val="007525FE"/>
    <w:rsid w:val="007708F4"/>
    <w:rsid w:val="007E5810"/>
    <w:rsid w:val="007F7D86"/>
    <w:rsid w:val="00893BA6"/>
    <w:rsid w:val="009552D2"/>
    <w:rsid w:val="00981E77"/>
    <w:rsid w:val="009C1FCE"/>
    <w:rsid w:val="009D1966"/>
    <w:rsid w:val="00A326D3"/>
    <w:rsid w:val="00B52346"/>
    <w:rsid w:val="00B55825"/>
    <w:rsid w:val="00B775C8"/>
    <w:rsid w:val="00BF5A1C"/>
    <w:rsid w:val="00CB64E6"/>
    <w:rsid w:val="00CF3326"/>
    <w:rsid w:val="00D225B2"/>
    <w:rsid w:val="00D6235B"/>
    <w:rsid w:val="00DA5450"/>
    <w:rsid w:val="00DB4DDE"/>
    <w:rsid w:val="00EE182E"/>
    <w:rsid w:val="00F86A3E"/>
    <w:rsid w:val="00FF753B"/>
    <w:rsid w:val="02616AE6"/>
    <w:rsid w:val="04E645E8"/>
    <w:rsid w:val="06910B22"/>
    <w:rsid w:val="0A6F0A89"/>
    <w:rsid w:val="10CA2B2D"/>
    <w:rsid w:val="10E91628"/>
    <w:rsid w:val="118C3D75"/>
    <w:rsid w:val="12532209"/>
    <w:rsid w:val="165F3F73"/>
    <w:rsid w:val="175270C9"/>
    <w:rsid w:val="1BCB302C"/>
    <w:rsid w:val="1CDD5EAD"/>
    <w:rsid w:val="1CFA397D"/>
    <w:rsid w:val="1D912CE5"/>
    <w:rsid w:val="1F2F6CF1"/>
    <w:rsid w:val="1FDB4E8A"/>
    <w:rsid w:val="22BD298D"/>
    <w:rsid w:val="22D534B9"/>
    <w:rsid w:val="244662C7"/>
    <w:rsid w:val="2A9C1216"/>
    <w:rsid w:val="304217AC"/>
    <w:rsid w:val="309C68B0"/>
    <w:rsid w:val="33141748"/>
    <w:rsid w:val="39230C1D"/>
    <w:rsid w:val="398D7597"/>
    <w:rsid w:val="3FE76D5D"/>
    <w:rsid w:val="418038F5"/>
    <w:rsid w:val="44B07397"/>
    <w:rsid w:val="45024713"/>
    <w:rsid w:val="4A776560"/>
    <w:rsid w:val="4B9C7588"/>
    <w:rsid w:val="4D402F0C"/>
    <w:rsid w:val="51BA5C7F"/>
    <w:rsid w:val="5509696D"/>
    <w:rsid w:val="5C180C4C"/>
    <w:rsid w:val="5D0305BA"/>
    <w:rsid w:val="60BA2D13"/>
    <w:rsid w:val="64566B02"/>
    <w:rsid w:val="64DF0625"/>
    <w:rsid w:val="6B091A3B"/>
    <w:rsid w:val="6D9C7055"/>
    <w:rsid w:val="724A32B7"/>
    <w:rsid w:val="76D83018"/>
    <w:rsid w:val="76ED7D45"/>
    <w:rsid w:val="78EA0CEC"/>
    <w:rsid w:val="79330B0C"/>
    <w:rsid w:val="79967556"/>
    <w:rsid w:val="7B71519D"/>
    <w:rsid w:val="7C503F7A"/>
    <w:rsid w:val="7E90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style9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sv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svg"/><Relationship Id="rId16" Type="http://schemas.openxmlformats.org/officeDocument/2006/relationships/image" Target="media/image13.png"/><Relationship Id="rId15" Type="http://schemas.openxmlformats.org/officeDocument/2006/relationships/image" Target="media/image12.svg"/><Relationship Id="rId14" Type="http://schemas.openxmlformats.org/officeDocument/2006/relationships/image" Target="media/image11.png"/><Relationship Id="rId13" Type="http://schemas.openxmlformats.org/officeDocument/2006/relationships/image" Target="media/image10.svg"/><Relationship Id="rId12" Type="http://schemas.openxmlformats.org/officeDocument/2006/relationships/image" Target="media/image9.png"/><Relationship Id="rId11" Type="http://schemas.openxmlformats.org/officeDocument/2006/relationships/image" Target="media/image8.sv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2507</Words>
  <Characters>2851</Characters>
  <Lines>13</Lines>
  <Paragraphs>3</Paragraphs>
  <TotalTime>3</TotalTime>
  <ScaleCrop>false</ScaleCrop>
  <LinksUpToDate>false</LinksUpToDate>
  <CharactersWithSpaces>3005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2023-10-19T00:58:00Z</dcterms:created>
  <dc:creator>李文娜</dc:creator>
  <cp:lastModifiedBy>张洁Grace</cp:lastModifiedBy>
  <dcterms:modified xsi:type="dcterms:W3CDTF">2024-10-16T08:44:53Z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F74B3487AB0F407FB3CB307D60C604CF</vt:lpwstr>
  </property>
</Properties>
</file>