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6001C4">
      <w:pPr>
        <w:spacing w:line="480" w:lineRule="exact"/>
        <w:rPr>
          <w:rFonts w:eastAsia="微软雅黑"/>
          <w:b/>
          <w:color w:val="000000"/>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培训时间/地点：</w:t>
      </w:r>
      <w:r>
        <w:rPr>
          <w:rFonts w:eastAsia="微软雅黑"/>
          <w:b/>
          <w:color w:val="000000"/>
          <w:szCs w:val="21"/>
        </w:rPr>
        <w:t>2024年</w:t>
      </w:r>
      <w:bookmarkStart w:id="0" w:name="_GoBack"/>
      <w:r>
        <w:rPr>
          <w:rFonts w:eastAsia="微软雅黑"/>
          <w:b/>
          <w:color w:val="000000"/>
          <w:szCs w:val="21"/>
        </w:rPr>
        <w:t>1</w:t>
      </w:r>
      <w:r>
        <w:rPr>
          <w:rFonts w:hint="eastAsia" w:eastAsia="微软雅黑"/>
          <w:b/>
          <w:color w:val="000000"/>
          <w:szCs w:val="21"/>
        </w:rPr>
        <w:t>2</w:t>
      </w:r>
      <w:r>
        <w:rPr>
          <w:rFonts w:eastAsia="微软雅黑"/>
          <w:b/>
          <w:color w:val="000000"/>
          <w:szCs w:val="21"/>
        </w:rPr>
        <w:t>月2</w:t>
      </w:r>
      <w:r>
        <w:rPr>
          <w:rFonts w:hint="eastAsia" w:eastAsia="微软雅黑"/>
          <w:b/>
          <w:color w:val="000000"/>
          <w:szCs w:val="21"/>
        </w:rPr>
        <w:t>3</w:t>
      </w:r>
      <w:r>
        <w:rPr>
          <w:rFonts w:eastAsia="微软雅黑"/>
          <w:b/>
          <w:color w:val="000000"/>
          <w:szCs w:val="21"/>
        </w:rPr>
        <w:t>~2</w:t>
      </w:r>
      <w:r>
        <w:rPr>
          <w:rFonts w:hint="eastAsia" w:eastAsia="微软雅黑"/>
          <w:b/>
          <w:color w:val="000000"/>
          <w:szCs w:val="21"/>
        </w:rPr>
        <w:t>7</w:t>
      </w:r>
      <w:r>
        <w:rPr>
          <w:rFonts w:eastAsia="微软雅黑"/>
          <w:b/>
          <w:color w:val="000000"/>
          <w:szCs w:val="21"/>
        </w:rPr>
        <w:t>日、</w:t>
      </w:r>
      <w:r>
        <w:rPr>
          <w:rFonts w:hint="eastAsia" w:eastAsia="微软雅黑"/>
          <w:b/>
          <w:color w:val="000000"/>
          <w:szCs w:val="21"/>
        </w:rPr>
        <w:t>2025年1月6~10日</w:t>
      </w:r>
      <w:r>
        <w:rPr>
          <w:rFonts w:eastAsia="微软雅黑"/>
          <w:b/>
          <w:color w:val="000000"/>
          <w:szCs w:val="21"/>
        </w:rPr>
        <w:t>（星期一</w:t>
      </w:r>
      <w:r>
        <w:rPr>
          <w:rFonts w:hint="eastAsia" w:eastAsia="微软雅黑"/>
          <w:b/>
          <w:color w:val="000000"/>
          <w:szCs w:val="21"/>
        </w:rPr>
        <w:t xml:space="preserve"> </w:t>
      </w:r>
      <w:r>
        <w:rPr>
          <w:rFonts w:eastAsia="微软雅黑"/>
          <w:b/>
          <w:color w:val="000000"/>
          <w:szCs w:val="21"/>
        </w:rPr>
        <w:t>~</w:t>
      </w:r>
      <w:r>
        <w:rPr>
          <w:rFonts w:hint="eastAsia" w:eastAsia="微软雅黑"/>
          <w:b/>
          <w:color w:val="000000"/>
          <w:szCs w:val="21"/>
        </w:rPr>
        <w:t xml:space="preserve"> </w:t>
      </w:r>
      <w:r>
        <w:rPr>
          <w:rFonts w:eastAsia="微软雅黑"/>
          <w:b/>
          <w:color w:val="000000"/>
          <w:szCs w:val="21"/>
        </w:rPr>
        <w:t>星期</w:t>
      </w:r>
      <w:r>
        <w:rPr>
          <w:rFonts w:hint="eastAsia" w:eastAsia="微软雅黑"/>
          <w:b/>
          <w:color w:val="000000"/>
          <w:szCs w:val="21"/>
        </w:rPr>
        <w:t>五</w:t>
      </w:r>
      <w:r>
        <w:rPr>
          <w:rFonts w:eastAsia="微软雅黑"/>
          <w:b/>
          <w:color w:val="000000"/>
          <w:szCs w:val="21"/>
        </w:rPr>
        <w:t>）/上 海</w:t>
      </w:r>
      <w:bookmarkEnd w:id="0"/>
    </w:p>
    <w:p w14:paraId="3B5FC3B7">
      <w:pPr>
        <w:spacing w:line="480" w:lineRule="exact"/>
        <w:rPr>
          <w:rFonts w:eastAsia="微软雅黑"/>
          <w:b/>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收费标准：</w:t>
      </w:r>
      <w:r>
        <w:rPr>
          <w:rFonts w:eastAsia="微软雅黑"/>
          <w:b/>
          <w:szCs w:val="21"/>
        </w:rPr>
        <w:t>￥</w:t>
      </w:r>
      <w:r>
        <w:rPr>
          <w:rFonts w:hint="eastAsia" w:eastAsia="微软雅黑"/>
          <w:b/>
          <w:szCs w:val="21"/>
        </w:rPr>
        <w:t>20000</w:t>
      </w:r>
      <w:r>
        <w:rPr>
          <w:rFonts w:eastAsia="微软雅黑"/>
          <w:b/>
          <w:szCs w:val="21"/>
        </w:rPr>
        <w:t>/人</w:t>
      </w:r>
    </w:p>
    <w:p w14:paraId="506E149E">
      <w:pPr>
        <w:numPr>
          <w:ilvl w:val="0"/>
          <w:numId w:val="1"/>
        </w:numPr>
        <w:spacing w:line="480" w:lineRule="exact"/>
        <w:ind w:left="0" w:firstLine="0"/>
        <w:rPr>
          <w:rFonts w:eastAsia="微软雅黑"/>
          <w:szCs w:val="21"/>
        </w:rPr>
      </w:pPr>
      <w:r>
        <w:rPr>
          <w:rFonts w:eastAsia="微软雅黑"/>
          <w:szCs w:val="21"/>
        </w:rPr>
        <w:t>含授课费、证书费、资料费、午餐费、茶点费、会务费、税费</w:t>
      </w:r>
    </w:p>
    <w:p w14:paraId="2F40082E">
      <w:pPr>
        <w:numPr>
          <w:ilvl w:val="0"/>
          <w:numId w:val="1"/>
        </w:numPr>
        <w:spacing w:line="480" w:lineRule="exact"/>
        <w:ind w:left="0" w:firstLine="0"/>
        <w:rPr>
          <w:rFonts w:eastAsia="微软雅黑"/>
          <w:szCs w:val="21"/>
        </w:rPr>
      </w:pPr>
      <w:r>
        <w:rPr>
          <w:rFonts w:eastAsia="微软雅黑"/>
          <w:szCs w:val="21"/>
        </w:rPr>
        <w:t>不包含学员往返培训场地的交通费用、住宿费用、早餐及晚餐</w:t>
      </w:r>
    </w:p>
    <w:p w14:paraId="79952C8B">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课程背景：</w:t>
      </w:r>
    </w:p>
    <w:p w14:paraId="7A456F21">
      <w:pPr>
        <w:widowControl/>
        <w:spacing w:line="480" w:lineRule="exact"/>
        <w:ind w:firstLine="420" w:firstLineChars="200"/>
        <w:jc w:val="left"/>
        <w:rPr>
          <w:rFonts w:eastAsia="微软雅黑"/>
          <w:szCs w:val="21"/>
        </w:rPr>
      </w:pPr>
      <w:r>
        <w:rPr>
          <w:rFonts w:hint="eastAsia" w:eastAsia="微软雅黑"/>
          <w:szCs w:val="21"/>
        </w:rPr>
        <w:t>六西格玛培训中把课堂教学与模拟练习相结合，能有系统地提高学员学习效率。借助DMAIC模式，学员可以学习到如应用精益原则及工具，通过与六西格玛相结合的方法以更快的速度和更小的过程变异来达到快速显著的改善。学员还能够学习到如何更好地扮演自己的角色，从而有效的领导、支持及鼓励他们的团队和应用项目管理技巧来达到期望的目标。欢迎学员带着自己企业的六西格玛改进黑带项目来参加培训，课堂实操练习就用自己的项目，学以致用，马上用到工作中，生根落地。</w:t>
      </w:r>
    </w:p>
    <w:p w14:paraId="6D3300A6">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课程收益：</w:t>
      </w:r>
    </w:p>
    <w:p w14:paraId="619A34DD">
      <w:pPr>
        <w:widowControl/>
        <w:spacing w:line="480" w:lineRule="exact"/>
        <w:jc w:val="left"/>
        <w:rPr>
          <w:rFonts w:eastAsia="微软雅黑"/>
          <w:szCs w:val="21"/>
        </w:rPr>
      </w:pPr>
      <w:r>
        <w:rPr>
          <w:rFonts w:hint="eastAsia" w:eastAsia="微软雅黑"/>
          <w:szCs w:val="21"/>
        </w:rPr>
        <w:t>通过此培训课程学员将学会：</w:t>
      </w:r>
    </w:p>
    <w:p w14:paraId="3B9850EC">
      <w:pPr>
        <w:numPr>
          <w:ilvl w:val="0"/>
          <w:numId w:val="1"/>
        </w:numPr>
        <w:spacing w:line="480" w:lineRule="exact"/>
        <w:ind w:left="0" w:firstLine="0"/>
        <w:rPr>
          <w:rFonts w:eastAsia="微软雅黑"/>
          <w:szCs w:val="21"/>
        </w:rPr>
      </w:pPr>
      <w:r>
        <w:rPr>
          <w:rFonts w:hint="eastAsia" w:eastAsia="微软雅黑"/>
          <w:szCs w:val="21"/>
        </w:rPr>
        <w:t>能够对精益六西格玛项目进行正确的定义，划定范围和建立实施的能力</w:t>
      </w:r>
    </w:p>
    <w:p w14:paraId="2EC395FE">
      <w:pPr>
        <w:numPr>
          <w:ilvl w:val="0"/>
          <w:numId w:val="1"/>
        </w:numPr>
        <w:spacing w:line="480" w:lineRule="exact"/>
        <w:ind w:left="0" w:firstLine="0"/>
        <w:rPr>
          <w:rFonts w:eastAsia="微软雅黑"/>
          <w:szCs w:val="21"/>
        </w:rPr>
      </w:pPr>
      <w:r>
        <w:rPr>
          <w:rFonts w:hint="eastAsia" w:eastAsia="微软雅黑"/>
          <w:szCs w:val="21"/>
        </w:rPr>
        <w:t>理解精益六西格玛方法和改善流程</w:t>
      </w:r>
    </w:p>
    <w:p w14:paraId="01580FF5">
      <w:pPr>
        <w:numPr>
          <w:ilvl w:val="0"/>
          <w:numId w:val="1"/>
        </w:numPr>
        <w:spacing w:line="480" w:lineRule="exact"/>
        <w:ind w:left="0" w:firstLine="0"/>
        <w:rPr>
          <w:rFonts w:eastAsia="微软雅黑"/>
          <w:szCs w:val="21"/>
        </w:rPr>
      </w:pPr>
      <w:r>
        <w:rPr>
          <w:rFonts w:eastAsia="微软雅黑"/>
          <w:szCs w:val="21"/>
        </w:rPr>
        <w:t>以计量方法明确问题的影响范围和性质</w:t>
      </w:r>
    </w:p>
    <w:p w14:paraId="3B722D16">
      <w:pPr>
        <w:numPr>
          <w:ilvl w:val="0"/>
          <w:numId w:val="1"/>
        </w:numPr>
        <w:spacing w:line="480" w:lineRule="exact"/>
        <w:ind w:left="0" w:firstLine="0"/>
        <w:rPr>
          <w:rFonts w:eastAsia="微软雅黑"/>
          <w:szCs w:val="21"/>
        </w:rPr>
      </w:pPr>
      <w:r>
        <w:rPr>
          <w:rFonts w:hint="eastAsia" w:eastAsia="微软雅黑"/>
          <w:szCs w:val="21"/>
        </w:rPr>
        <w:t>使用一整套的质量管理工具来</w:t>
      </w:r>
      <w:r>
        <w:rPr>
          <w:rFonts w:eastAsia="微软雅黑"/>
          <w:szCs w:val="21"/>
        </w:rPr>
        <w:t>分析问题并找到根本原因</w:t>
      </w:r>
      <w:r>
        <w:rPr>
          <w:rFonts w:hint="eastAsia" w:eastAsia="微软雅黑"/>
          <w:szCs w:val="21"/>
        </w:rPr>
        <w:t>并解决问题</w:t>
      </w:r>
    </w:p>
    <w:p w14:paraId="2E9B3E1E">
      <w:pPr>
        <w:numPr>
          <w:ilvl w:val="0"/>
          <w:numId w:val="1"/>
        </w:numPr>
        <w:spacing w:line="480" w:lineRule="exact"/>
        <w:ind w:left="0" w:firstLine="0"/>
        <w:rPr>
          <w:rFonts w:eastAsia="微软雅黑"/>
          <w:szCs w:val="21"/>
        </w:rPr>
      </w:pPr>
      <w:r>
        <w:rPr>
          <w:rFonts w:eastAsia="微软雅黑"/>
          <w:szCs w:val="21"/>
        </w:rPr>
        <w:t>培养组织能力，激励能力，项目管理技术和数理统计诊断能力的精益六西格玛黑带专家</w:t>
      </w:r>
    </w:p>
    <w:p w14:paraId="7B41D96A">
      <w:pPr>
        <w:numPr>
          <w:ilvl w:val="0"/>
          <w:numId w:val="1"/>
        </w:numPr>
        <w:spacing w:line="480" w:lineRule="exact"/>
        <w:ind w:left="0" w:firstLine="0"/>
        <w:rPr>
          <w:rFonts w:eastAsia="微软雅黑"/>
          <w:szCs w:val="21"/>
        </w:rPr>
      </w:pPr>
      <w:r>
        <w:rPr>
          <w:rFonts w:eastAsia="微软雅黑"/>
          <w:szCs w:val="21"/>
        </w:rPr>
        <w:t>提供必须的管理工具，软件工具包和操作技巧</w:t>
      </w:r>
    </w:p>
    <w:p w14:paraId="308DB860">
      <w:pPr>
        <w:numPr>
          <w:ilvl w:val="0"/>
          <w:numId w:val="1"/>
        </w:numPr>
        <w:spacing w:line="480" w:lineRule="exact"/>
        <w:ind w:left="0" w:firstLine="0"/>
        <w:rPr>
          <w:rFonts w:eastAsia="微软雅黑"/>
          <w:szCs w:val="21"/>
        </w:rPr>
      </w:pPr>
      <w:r>
        <w:rPr>
          <w:rFonts w:eastAsia="微软雅黑"/>
          <w:szCs w:val="21"/>
        </w:rPr>
        <w:t>通过黑带的精益六西格玛项目实施提供咨询服务</w:t>
      </w:r>
    </w:p>
    <w:p w14:paraId="51B38FF0">
      <w:pPr>
        <w:numPr>
          <w:ilvl w:val="0"/>
          <w:numId w:val="1"/>
        </w:numPr>
        <w:spacing w:line="480" w:lineRule="exact"/>
        <w:ind w:left="0" w:firstLine="0"/>
        <w:rPr>
          <w:rFonts w:eastAsia="微软雅黑"/>
          <w:szCs w:val="21"/>
        </w:rPr>
      </w:pPr>
      <w:r>
        <w:rPr>
          <w:rFonts w:eastAsia="微软雅黑"/>
          <w:szCs w:val="21"/>
        </w:rPr>
        <w:t>黑带认证，软件工具包，项目咨询三位一体的培训效果</w:t>
      </w:r>
    </w:p>
    <w:p w14:paraId="3367B3A2">
      <w:pPr>
        <w:numPr>
          <w:ilvl w:val="0"/>
          <w:numId w:val="1"/>
        </w:numPr>
        <w:spacing w:line="480" w:lineRule="exact"/>
        <w:ind w:left="0" w:firstLine="0"/>
        <w:rPr>
          <w:rFonts w:eastAsia="微软雅黑"/>
          <w:szCs w:val="21"/>
        </w:rPr>
      </w:pPr>
      <w:r>
        <w:rPr>
          <w:rFonts w:hint="eastAsia" w:eastAsia="微软雅黑"/>
          <w:szCs w:val="21"/>
        </w:rPr>
        <w:t>使用MINITAB®/JMP来加强对过程改进项目的分析</w:t>
      </w:r>
    </w:p>
    <w:p w14:paraId="12510DA1">
      <w:pPr>
        <w:widowControl/>
        <w:jc w:val="left"/>
      </w:pPr>
      <w:r>
        <w:rPr>
          <w:rFonts w:eastAsia="微软雅黑"/>
          <w:b/>
          <w:color w:val="C00000"/>
          <w:sz w:val="24"/>
          <w:szCs w:val="24"/>
          <w14:shadow w14:blurRad="50800" w14:dist="38100" w14:dir="2700000" w14:sx="100000" w14:sy="100000" w14:kx="0" w14:ky="0" w14:algn="tl">
            <w14:srgbClr w14:val="000000">
              <w14:alpha w14:val="60000"/>
            </w14:srgbClr>
          </w14:shadow>
        </w:rPr>
        <w:br w:type="page"/>
      </w:r>
      <w:r>
        <w:t xml:space="preserve"> </w:t>
      </w:r>
      <w:r>
        <w:rPr>
          <w:rFonts w:eastAsia="微软雅黑"/>
          <w:b/>
          <w:color w:val="C00000"/>
          <w:sz w:val="24"/>
          <w:szCs w:val="24"/>
          <w14:shadow w14:blurRad="50800" w14:dist="38100" w14:dir="2700000" w14:sx="100000" w14:sy="100000" w14:kx="0" w14:ky="0" w14:algn="tl">
            <w14:srgbClr w14:val="000000">
              <w14:alpha w14:val="60000"/>
            </w14:srgbClr>
          </w14:shadow>
        </w:rPr>
        <w:t>参训对象：</w:t>
      </w:r>
    </w:p>
    <w:p w14:paraId="28CFF54D">
      <w:pPr>
        <w:spacing w:line="480" w:lineRule="exact"/>
        <w:ind w:firstLine="420" w:firstLineChars="200"/>
        <w:rPr>
          <w:rFonts w:eastAsia="微软雅黑"/>
          <w:szCs w:val="21"/>
        </w:rPr>
      </w:pPr>
      <w:r>
        <w:rPr>
          <w:rFonts w:hint="eastAsia" w:eastAsia="微软雅黑"/>
          <w:szCs w:val="21"/>
        </w:rPr>
        <w:t>经理、项目负责人、</w:t>
      </w:r>
      <w:r>
        <w:rPr>
          <w:rFonts w:eastAsia="微软雅黑"/>
          <w:szCs w:val="21"/>
        </w:rPr>
        <w:t>企业的业务骨干人员</w:t>
      </w:r>
      <w:r>
        <w:rPr>
          <w:rFonts w:hint="eastAsia" w:eastAsia="微软雅黑"/>
          <w:szCs w:val="21"/>
        </w:rPr>
        <w:t>和黑带候选人以及那些希望理解精益六西格玛原理和技巧的人员。在参加该课程之前，学员并不需要具备六西格玛方法和精益生产学习以及在应用方面的经验。</w:t>
      </w:r>
    </w:p>
    <w:p w14:paraId="0C2EB451">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授课形式：</w:t>
      </w:r>
    </w:p>
    <w:p w14:paraId="7D2F2AE5">
      <w:pPr>
        <w:spacing w:line="480" w:lineRule="exact"/>
        <w:ind w:firstLine="420" w:firstLineChars="200"/>
        <w:rPr>
          <w:rFonts w:eastAsia="微软雅黑"/>
          <w:szCs w:val="21"/>
        </w:rPr>
      </w:pPr>
      <w:r>
        <w:rPr>
          <w:rFonts w:eastAsia="微软雅黑"/>
          <w:szCs w:val="21"/>
        </w:rPr>
        <w:t>知识讲解、案例分析讨论、角色演练、小组讨论、互动交流、游戏感悟、头脑风暴、强调学员参与。</w:t>
      </w:r>
    </w:p>
    <w:p w14:paraId="58263AC5">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课程大纲：</w:t>
      </w:r>
    </w:p>
    <w:p w14:paraId="344D6D38">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Define Phase</w:t>
      </w:r>
    </w:p>
    <w:p w14:paraId="42193BDE">
      <w:pPr>
        <w:numPr>
          <w:ilvl w:val="0"/>
          <w:numId w:val="2"/>
        </w:numPr>
        <w:tabs>
          <w:tab w:val="left" w:pos="426"/>
        </w:tabs>
        <w:autoSpaceDN w:val="0"/>
        <w:spacing w:line="480" w:lineRule="exact"/>
        <w:ind w:left="0" w:firstLine="0"/>
        <w:rPr>
          <w:rFonts w:eastAsia="微软雅黑"/>
          <w:szCs w:val="21"/>
        </w:rPr>
      </w:pPr>
      <w:r>
        <w:rPr>
          <w:rFonts w:hint="eastAsia" w:eastAsia="微软雅黑"/>
          <w:szCs w:val="21"/>
        </w:rPr>
        <w:t>课程介绍</w:t>
      </w:r>
    </w:p>
    <w:p w14:paraId="4FFCA54A">
      <w:pPr>
        <w:numPr>
          <w:ilvl w:val="0"/>
          <w:numId w:val="2"/>
        </w:numPr>
        <w:tabs>
          <w:tab w:val="left" w:pos="426"/>
        </w:tabs>
        <w:autoSpaceDN w:val="0"/>
        <w:spacing w:line="480" w:lineRule="exact"/>
        <w:ind w:left="0" w:firstLine="0"/>
        <w:rPr>
          <w:rFonts w:eastAsia="微软雅黑"/>
          <w:szCs w:val="21"/>
        </w:rPr>
      </w:pPr>
      <w:r>
        <w:rPr>
          <w:rFonts w:hint="eastAsia" w:eastAsia="微软雅黑"/>
          <w:szCs w:val="21"/>
        </w:rPr>
        <w:t>六西格玛概况</w:t>
      </w:r>
    </w:p>
    <w:p w14:paraId="36AB734D">
      <w:pPr>
        <w:numPr>
          <w:ilvl w:val="0"/>
          <w:numId w:val="2"/>
        </w:numPr>
        <w:tabs>
          <w:tab w:val="left" w:pos="426"/>
        </w:tabs>
        <w:autoSpaceDN w:val="0"/>
        <w:spacing w:line="480" w:lineRule="exact"/>
        <w:ind w:left="0" w:firstLine="0"/>
        <w:rPr>
          <w:rFonts w:eastAsia="微软雅黑"/>
          <w:szCs w:val="21"/>
        </w:rPr>
      </w:pPr>
      <w:r>
        <w:rPr>
          <w:rFonts w:hint="eastAsia" w:eastAsia="微软雅黑"/>
          <w:szCs w:val="21"/>
        </w:rPr>
        <w:t>精益介绍</w:t>
      </w:r>
    </w:p>
    <w:p w14:paraId="7698AF5B">
      <w:pPr>
        <w:numPr>
          <w:ilvl w:val="0"/>
          <w:numId w:val="2"/>
        </w:numPr>
        <w:tabs>
          <w:tab w:val="left" w:pos="426"/>
        </w:tabs>
        <w:autoSpaceDN w:val="0"/>
        <w:spacing w:line="480" w:lineRule="exact"/>
        <w:ind w:left="0" w:firstLine="0"/>
        <w:rPr>
          <w:rFonts w:eastAsia="微软雅黑"/>
          <w:szCs w:val="21"/>
        </w:rPr>
      </w:pPr>
      <w:r>
        <w:rPr>
          <w:rFonts w:hint="eastAsia" w:eastAsia="微软雅黑"/>
          <w:szCs w:val="21"/>
        </w:rPr>
        <w:t>项目定义</w:t>
      </w:r>
    </w:p>
    <w:p w14:paraId="2F640F42">
      <w:pPr>
        <w:numPr>
          <w:ilvl w:val="0"/>
          <w:numId w:val="2"/>
        </w:numPr>
        <w:tabs>
          <w:tab w:val="left" w:pos="426"/>
        </w:tabs>
        <w:autoSpaceDN w:val="0"/>
        <w:spacing w:line="480" w:lineRule="exact"/>
        <w:ind w:left="0" w:firstLine="0"/>
        <w:rPr>
          <w:rFonts w:eastAsia="微软雅黑"/>
          <w:szCs w:val="21"/>
        </w:rPr>
      </w:pPr>
      <w:r>
        <w:rPr>
          <w:rFonts w:hint="eastAsia" w:eastAsia="微软雅黑"/>
          <w:szCs w:val="21"/>
        </w:rPr>
        <w:t>确定客户需求</w:t>
      </w:r>
    </w:p>
    <w:p w14:paraId="111455A1">
      <w:pPr>
        <w:numPr>
          <w:ilvl w:val="0"/>
          <w:numId w:val="2"/>
        </w:numPr>
        <w:tabs>
          <w:tab w:val="left" w:pos="426"/>
        </w:tabs>
        <w:autoSpaceDN w:val="0"/>
        <w:spacing w:line="480" w:lineRule="exact"/>
        <w:ind w:left="0" w:firstLine="0"/>
        <w:rPr>
          <w:rFonts w:eastAsia="微软雅黑"/>
          <w:szCs w:val="21"/>
        </w:rPr>
      </w:pPr>
      <w:r>
        <w:rPr>
          <w:rFonts w:hint="eastAsia" w:eastAsia="微软雅黑"/>
          <w:szCs w:val="21"/>
        </w:rPr>
        <w:t>Minitab/JMP介绍</w:t>
      </w:r>
    </w:p>
    <w:p w14:paraId="2F16E5D6">
      <w:pPr>
        <w:numPr>
          <w:ilvl w:val="0"/>
          <w:numId w:val="2"/>
        </w:numPr>
        <w:tabs>
          <w:tab w:val="left" w:pos="426"/>
        </w:tabs>
        <w:autoSpaceDN w:val="0"/>
        <w:spacing w:line="480" w:lineRule="exact"/>
        <w:ind w:left="0" w:firstLine="0"/>
        <w:rPr>
          <w:rFonts w:eastAsia="微软雅黑"/>
          <w:szCs w:val="21"/>
        </w:rPr>
      </w:pPr>
      <w:r>
        <w:rPr>
          <w:rFonts w:hint="eastAsia" w:eastAsia="微软雅黑"/>
          <w:szCs w:val="21"/>
        </w:rPr>
        <w:t>统计学基础</w:t>
      </w:r>
    </w:p>
    <w:p w14:paraId="1F5250EC">
      <w:pPr>
        <w:numPr>
          <w:ilvl w:val="0"/>
          <w:numId w:val="2"/>
        </w:numPr>
        <w:tabs>
          <w:tab w:val="left" w:pos="426"/>
        </w:tabs>
        <w:autoSpaceDN w:val="0"/>
        <w:spacing w:line="480" w:lineRule="exact"/>
        <w:ind w:left="0" w:firstLine="0"/>
        <w:rPr>
          <w:rFonts w:eastAsia="微软雅黑"/>
          <w:szCs w:val="21"/>
        </w:rPr>
      </w:pPr>
      <w:r>
        <w:rPr>
          <w:rFonts w:hint="eastAsia" w:eastAsia="微软雅黑"/>
          <w:szCs w:val="21"/>
        </w:rPr>
        <w:t>基本图形</w:t>
      </w:r>
    </w:p>
    <w:p w14:paraId="3A368E16">
      <w:pPr>
        <w:numPr>
          <w:ilvl w:val="0"/>
          <w:numId w:val="2"/>
        </w:numPr>
        <w:tabs>
          <w:tab w:val="left" w:pos="426"/>
        </w:tabs>
        <w:autoSpaceDN w:val="0"/>
        <w:spacing w:line="480" w:lineRule="exact"/>
        <w:ind w:left="0" w:firstLine="0"/>
        <w:rPr>
          <w:rFonts w:eastAsia="微软雅黑"/>
          <w:szCs w:val="21"/>
        </w:rPr>
      </w:pPr>
      <w:r>
        <w:rPr>
          <w:rFonts w:hint="eastAsia" w:eastAsia="微软雅黑"/>
          <w:szCs w:val="21"/>
        </w:rPr>
        <w:t>SIPOC图</w:t>
      </w:r>
    </w:p>
    <w:p w14:paraId="401F4E80">
      <w:pPr>
        <w:numPr>
          <w:ilvl w:val="0"/>
          <w:numId w:val="2"/>
        </w:numPr>
        <w:tabs>
          <w:tab w:val="left" w:pos="426"/>
        </w:tabs>
        <w:autoSpaceDN w:val="0"/>
        <w:spacing w:line="480" w:lineRule="exact"/>
        <w:ind w:left="0" w:firstLine="0"/>
        <w:rPr>
          <w:rFonts w:eastAsia="微软雅黑"/>
          <w:szCs w:val="21"/>
        </w:rPr>
      </w:pPr>
      <w:r>
        <w:rPr>
          <w:rFonts w:hint="eastAsia" w:eastAsia="微软雅黑"/>
          <w:szCs w:val="21"/>
        </w:rPr>
        <w:t>团队组建和项目管理</w:t>
      </w:r>
    </w:p>
    <w:p w14:paraId="5814CFFE">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bCs/>
          <w:color w:val="C00000"/>
          <w:sz w:val="24"/>
          <w:szCs w:val="24"/>
          <w14:shadow w14:blurRad="50800" w14:dist="38100" w14:dir="2700000" w14:sx="100000" w14:sy="100000" w14:kx="0" w14:ky="0" w14:algn="tl">
            <w14:srgbClr w14:val="000000">
              <w14:alpha w14:val="60000"/>
            </w14:srgbClr>
          </w14:shadow>
        </w:rPr>
        <w:t>Measure Phase</w:t>
      </w:r>
    </w:p>
    <w:p w14:paraId="08B5291D">
      <w:pPr>
        <w:numPr>
          <w:ilvl w:val="0"/>
          <w:numId w:val="2"/>
        </w:numPr>
        <w:tabs>
          <w:tab w:val="left" w:pos="426"/>
        </w:tabs>
        <w:autoSpaceDN w:val="0"/>
        <w:spacing w:line="480" w:lineRule="exact"/>
        <w:ind w:left="0" w:firstLine="0"/>
        <w:rPr>
          <w:rFonts w:eastAsia="微软雅黑"/>
          <w:szCs w:val="21"/>
        </w:rPr>
      </w:pPr>
      <w:r>
        <w:rPr>
          <w:rFonts w:hint="eastAsia" w:eastAsia="微软雅黑"/>
          <w:szCs w:val="21"/>
        </w:rPr>
        <w:t>计量型测量系统分析</w:t>
      </w:r>
    </w:p>
    <w:p w14:paraId="55445098">
      <w:pPr>
        <w:numPr>
          <w:ilvl w:val="0"/>
          <w:numId w:val="2"/>
        </w:numPr>
        <w:tabs>
          <w:tab w:val="left" w:pos="426"/>
        </w:tabs>
        <w:autoSpaceDN w:val="0"/>
        <w:spacing w:line="480" w:lineRule="exact"/>
        <w:ind w:left="0" w:firstLine="0"/>
        <w:rPr>
          <w:rFonts w:eastAsia="微软雅黑"/>
          <w:szCs w:val="21"/>
        </w:rPr>
      </w:pPr>
      <w:r>
        <w:rPr>
          <w:rFonts w:hint="eastAsia" w:eastAsia="微软雅黑"/>
          <w:szCs w:val="21"/>
        </w:rPr>
        <w:t>计数型测量系统分析</w:t>
      </w:r>
    </w:p>
    <w:p w14:paraId="074A57E0">
      <w:pPr>
        <w:numPr>
          <w:ilvl w:val="0"/>
          <w:numId w:val="2"/>
        </w:numPr>
        <w:tabs>
          <w:tab w:val="left" w:pos="426"/>
        </w:tabs>
        <w:autoSpaceDN w:val="0"/>
        <w:spacing w:line="480" w:lineRule="exact"/>
        <w:ind w:left="0" w:firstLine="0"/>
        <w:rPr>
          <w:rFonts w:eastAsia="微软雅黑"/>
          <w:szCs w:val="21"/>
        </w:rPr>
      </w:pPr>
      <w:r>
        <w:rPr>
          <w:rFonts w:hint="eastAsia" w:eastAsia="微软雅黑"/>
          <w:szCs w:val="21"/>
        </w:rPr>
        <w:t>统计过程控制</w:t>
      </w:r>
      <w:r>
        <w:rPr>
          <w:rFonts w:eastAsia="微软雅黑"/>
          <w:szCs w:val="21"/>
        </w:rPr>
        <w:t>(SPC)</w:t>
      </w:r>
      <w:r>
        <w:rPr>
          <w:rFonts w:hint="eastAsia" w:eastAsia="微软雅黑"/>
          <w:szCs w:val="21"/>
        </w:rPr>
        <w:t>初阶</w:t>
      </w:r>
    </w:p>
    <w:p w14:paraId="48DFAD06">
      <w:pPr>
        <w:numPr>
          <w:ilvl w:val="0"/>
          <w:numId w:val="2"/>
        </w:numPr>
        <w:tabs>
          <w:tab w:val="left" w:pos="426"/>
        </w:tabs>
        <w:autoSpaceDN w:val="0"/>
        <w:spacing w:line="480" w:lineRule="exact"/>
        <w:ind w:left="0" w:firstLine="0"/>
        <w:rPr>
          <w:rFonts w:eastAsia="微软雅黑"/>
          <w:szCs w:val="21"/>
        </w:rPr>
      </w:pPr>
      <w:r>
        <w:rPr>
          <w:rFonts w:hint="eastAsia" w:eastAsia="微软雅黑"/>
          <w:szCs w:val="21"/>
        </w:rPr>
        <w:t>过程能力分析</w:t>
      </w:r>
    </w:p>
    <w:p w14:paraId="5063D418">
      <w:pPr>
        <w:numPr>
          <w:ilvl w:val="0"/>
          <w:numId w:val="2"/>
        </w:numPr>
        <w:tabs>
          <w:tab w:val="left" w:pos="426"/>
        </w:tabs>
        <w:autoSpaceDN w:val="0"/>
        <w:spacing w:line="480" w:lineRule="exact"/>
        <w:ind w:left="0" w:firstLine="0"/>
        <w:rPr>
          <w:rFonts w:eastAsia="微软雅黑"/>
          <w:szCs w:val="21"/>
        </w:rPr>
      </w:pPr>
      <w:r>
        <w:rPr>
          <w:rFonts w:hint="eastAsia" w:eastAsia="微软雅黑"/>
          <w:szCs w:val="21"/>
        </w:rPr>
        <w:t>非正态数据过程能力分析</w:t>
      </w:r>
    </w:p>
    <w:p w14:paraId="4582A447">
      <w:pPr>
        <w:numPr>
          <w:ilvl w:val="0"/>
          <w:numId w:val="2"/>
        </w:numPr>
        <w:tabs>
          <w:tab w:val="left" w:pos="426"/>
        </w:tabs>
        <w:autoSpaceDN w:val="0"/>
        <w:spacing w:line="480" w:lineRule="exact"/>
        <w:ind w:left="0" w:firstLine="0"/>
        <w:rPr>
          <w:rFonts w:eastAsia="微软雅黑"/>
          <w:szCs w:val="21"/>
        </w:rPr>
      </w:pPr>
      <w:r>
        <w:rPr>
          <w:rFonts w:hint="eastAsia" w:eastAsia="微软雅黑"/>
          <w:szCs w:val="21"/>
        </w:rPr>
        <w:t>详细过程图</w:t>
      </w:r>
    </w:p>
    <w:p w14:paraId="728E6C26">
      <w:pPr>
        <w:numPr>
          <w:ilvl w:val="0"/>
          <w:numId w:val="2"/>
        </w:numPr>
        <w:tabs>
          <w:tab w:val="left" w:pos="426"/>
        </w:tabs>
        <w:autoSpaceDN w:val="0"/>
        <w:spacing w:line="480" w:lineRule="exact"/>
        <w:ind w:left="0" w:firstLine="0"/>
        <w:rPr>
          <w:rFonts w:eastAsia="微软雅黑"/>
          <w:szCs w:val="21"/>
        </w:rPr>
      </w:pPr>
      <w:r>
        <w:rPr>
          <w:rFonts w:hint="eastAsia" w:eastAsia="微软雅黑"/>
          <w:szCs w:val="21"/>
        </w:rPr>
        <w:t>因果矩阵</w:t>
      </w:r>
    </w:p>
    <w:p w14:paraId="3494E11E">
      <w:pPr>
        <w:numPr>
          <w:ilvl w:val="0"/>
          <w:numId w:val="2"/>
        </w:numPr>
        <w:tabs>
          <w:tab w:val="left" w:pos="426"/>
        </w:tabs>
        <w:autoSpaceDN w:val="0"/>
        <w:spacing w:line="480" w:lineRule="exact"/>
        <w:ind w:left="0" w:firstLine="0"/>
        <w:rPr>
          <w:rFonts w:eastAsia="微软雅黑"/>
          <w:szCs w:val="21"/>
        </w:rPr>
      </w:pPr>
      <w:r>
        <w:rPr>
          <w:rFonts w:eastAsia="微软雅黑"/>
          <w:szCs w:val="21"/>
        </w:rPr>
        <w:t>FMEA</w:t>
      </w:r>
    </w:p>
    <w:p w14:paraId="3B128D3D">
      <w:pPr>
        <w:numPr>
          <w:ilvl w:val="0"/>
          <w:numId w:val="2"/>
        </w:numPr>
        <w:tabs>
          <w:tab w:val="left" w:pos="426"/>
        </w:tabs>
        <w:autoSpaceDN w:val="0"/>
        <w:spacing w:line="480" w:lineRule="exact"/>
        <w:ind w:left="0" w:firstLine="0"/>
        <w:rPr>
          <w:rFonts w:eastAsia="微软雅黑"/>
          <w:szCs w:val="21"/>
        </w:rPr>
      </w:pPr>
      <w:r>
        <w:rPr>
          <w:rFonts w:eastAsia="微软雅黑"/>
          <w:szCs w:val="21"/>
        </w:rPr>
        <w:t>Six Sigma Roadmap Overview</w:t>
      </w:r>
    </w:p>
    <w:p w14:paraId="7D0AB3D3">
      <w:pPr>
        <w:numPr>
          <w:ilvl w:val="0"/>
          <w:numId w:val="2"/>
        </w:numPr>
        <w:tabs>
          <w:tab w:val="left" w:pos="426"/>
        </w:tabs>
        <w:autoSpaceDN w:val="0"/>
        <w:spacing w:line="480" w:lineRule="exact"/>
        <w:ind w:left="0" w:firstLine="0"/>
        <w:rPr>
          <w:rFonts w:eastAsia="微软雅黑"/>
          <w:szCs w:val="21"/>
        </w:rPr>
      </w:pPr>
      <w:r>
        <w:rPr>
          <w:rFonts w:hint="eastAsia" w:eastAsia="微软雅黑"/>
          <w:szCs w:val="21"/>
        </w:rPr>
        <w:t>六西格玛案例分享</w:t>
      </w:r>
    </w:p>
    <w:p w14:paraId="6641A9FF">
      <w:pPr>
        <w:numPr>
          <w:ilvl w:val="0"/>
          <w:numId w:val="2"/>
        </w:numPr>
        <w:tabs>
          <w:tab w:val="left" w:pos="426"/>
        </w:tabs>
        <w:autoSpaceDN w:val="0"/>
        <w:spacing w:line="480" w:lineRule="exact"/>
        <w:ind w:left="0" w:firstLine="0"/>
        <w:rPr>
          <w:rFonts w:eastAsia="微软雅黑"/>
          <w:szCs w:val="21"/>
        </w:rPr>
      </w:pPr>
      <w:r>
        <w:rPr>
          <w:rFonts w:hint="eastAsia" w:eastAsia="微软雅黑"/>
          <w:szCs w:val="21"/>
        </w:rPr>
        <w:t>六西格玛</w:t>
      </w:r>
      <w:r>
        <w:rPr>
          <w:rFonts w:eastAsia="微软雅黑"/>
          <w:szCs w:val="21"/>
        </w:rPr>
        <w:t>DM</w:t>
      </w:r>
      <w:r>
        <w:rPr>
          <w:rFonts w:hint="eastAsia" w:eastAsia="微软雅黑"/>
          <w:szCs w:val="21"/>
        </w:rPr>
        <w:t>阶段考试</w:t>
      </w:r>
    </w:p>
    <w:p w14:paraId="06138FBE">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bCs/>
          <w:color w:val="C00000"/>
          <w:sz w:val="24"/>
          <w:szCs w:val="24"/>
          <w14:shadow w14:blurRad="50800" w14:dist="38100" w14:dir="2700000" w14:sx="100000" w14:sy="100000" w14:kx="0" w14:ky="0" w14:algn="tl">
            <w14:srgbClr w14:val="000000">
              <w14:alpha w14:val="60000"/>
            </w14:srgbClr>
          </w14:shadow>
        </w:rPr>
        <w:t>Analyze Phase</w:t>
      </w:r>
    </w:p>
    <w:p w14:paraId="70E64918">
      <w:pPr>
        <w:numPr>
          <w:ilvl w:val="0"/>
          <w:numId w:val="2"/>
        </w:numPr>
        <w:tabs>
          <w:tab w:val="left" w:pos="426"/>
          <w:tab w:val="left" w:pos="720"/>
        </w:tabs>
        <w:autoSpaceDN w:val="0"/>
        <w:spacing w:line="480" w:lineRule="exact"/>
        <w:ind w:left="0" w:firstLine="0"/>
        <w:rPr>
          <w:rFonts w:eastAsia="微软雅黑"/>
          <w:szCs w:val="21"/>
        </w:rPr>
      </w:pPr>
      <w:r>
        <w:rPr>
          <w:rFonts w:eastAsia="微软雅黑"/>
          <w:szCs w:val="21"/>
        </w:rPr>
        <w:t>DM</w:t>
      </w:r>
      <w:r>
        <w:rPr>
          <w:rFonts w:hint="eastAsia" w:eastAsia="微软雅黑"/>
          <w:szCs w:val="21"/>
        </w:rPr>
        <w:t>阶段回顾</w:t>
      </w:r>
    </w:p>
    <w:p w14:paraId="70E93253">
      <w:pPr>
        <w:numPr>
          <w:ilvl w:val="0"/>
          <w:numId w:val="2"/>
        </w:numPr>
        <w:tabs>
          <w:tab w:val="left" w:pos="426"/>
          <w:tab w:val="left" w:pos="720"/>
        </w:tabs>
        <w:autoSpaceDN w:val="0"/>
        <w:spacing w:line="480" w:lineRule="exact"/>
        <w:ind w:left="0" w:firstLine="0"/>
        <w:rPr>
          <w:rFonts w:eastAsia="微软雅黑"/>
          <w:szCs w:val="21"/>
        </w:rPr>
      </w:pPr>
      <w:r>
        <w:rPr>
          <w:rFonts w:hint="eastAsia" w:eastAsia="微软雅黑"/>
          <w:szCs w:val="21"/>
        </w:rPr>
        <w:t>多变量分析</w:t>
      </w:r>
    </w:p>
    <w:p w14:paraId="08DFBED3">
      <w:pPr>
        <w:numPr>
          <w:ilvl w:val="0"/>
          <w:numId w:val="2"/>
        </w:numPr>
        <w:tabs>
          <w:tab w:val="left" w:pos="426"/>
          <w:tab w:val="left" w:pos="720"/>
        </w:tabs>
        <w:autoSpaceDN w:val="0"/>
        <w:spacing w:line="480" w:lineRule="exact"/>
        <w:ind w:left="0" w:firstLine="0"/>
        <w:rPr>
          <w:rFonts w:eastAsia="微软雅黑"/>
          <w:szCs w:val="21"/>
        </w:rPr>
      </w:pPr>
      <w:r>
        <w:rPr>
          <w:rFonts w:hint="eastAsia" w:eastAsia="微软雅黑"/>
          <w:szCs w:val="21"/>
        </w:rPr>
        <w:t>置信区间</w:t>
      </w:r>
    </w:p>
    <w:p w14:paraId="76DA53D5">
      <w:pPr>
        <w:numPr>
          <w:ilvl w:val="0"/>
          <w:numId w:val="2"/>
        </w:numPr>
        <w:tabs>
          <w:tab w:val="left" w:pos="426"/>
          <w:tab w:val="left" w:pos="720"/>
        </w:tabs>
        <w:autoSpaceDN w:val="0"/>
        <w:spacing w:line="480" w:lineRule="exact"/>
        <w:ind w:left="0" w:firstLine="0"/>
        <w:rPr>
          <w:rFonts w:eastAsia="微软雅黑"/>
          <w:szCs w:val="21"/>
        </w:rPr>
      </w:pPr>
      <w:r>
        <w:rPr>
          <w:rFonts w:hint="eastAsia" w:eastAsia="微软雅黑"/>
          <w:szCs w:val="21"/>
        </w:rPr>
        <w:t>假设检验概况理论</w:t>
      </w:r>
    </w:p>
    <w:p w14:paraId="28E6DB85">
      <w:pPr>
        <w:numPr>
          <w:ilvl w:val="0"/>
          <w:numId w:val="2"/>
        </w:numPr>
        <w:tabs>
          <w:tab w:val="left" w:pos="426"/>
          <w:tab w:val="left" w:pos="720"/>
        </w:tabs>
        <w:autoSpaceDN w:val="0"/>
        <w:spacing w:line="480" w:lineRule="exact"/>
        <w:ind w:left="0" w:firstLine="0"/>
        <w:rPr>
          <w:rFonts w:eastAsia="微软雅黑"/>
          <w:szCs w:val="21"/>
        </w:rPr>
      </w:pPr>
      <w:r>
        <w:rPr>
          <w:rFonts w:hint="eastAsia" w:eastAsia="微软雅黑"/>
          <w:szCs w:val="21"/>
        </w:rPr>
        <w:t>假设检验方法</w:t>
      </w:r>
    </w:p>
    <w:p w14:paraId="47F5C7D6">
      <w:pPr>
        <w:tabs>
          <w:tab w:val="left" w:pos="720"/>
        </w:tabs>
        <w:autoSpaceDN w:val="0"/>
        <w:spacing w:line="480" w:lineRule="exact"/>
        <w:ind w:firstLine="420" w:firstLineChars="200"/>
        <w:rPr>
          <w:rFonts w:eastAsia="微软雅黑"/>
          <w:szCs w:val="21"/>
        </w:rPr>
      </w:pPr>
      <w:r>
        <w:rPr>
          <w:rFonts w:eastAsia="微软雅黑"/>
          <w:szCs w:val="21"/>
        </w:rPr>
        <w:t>1.</w:t>
      </w:r>
      <w:r>
        <w:rPr>
          <w:rFonts w:hint="eastAsia" w:eastAsia="微软雅黑"/>
          <w:szCs w:val="21"/>
        </w:rPr>
        <w:t>单比例测试</w:t>
      </w:r>
    </w:p>
    <w:p w14:paraId="7889DCAB">
      <w:pPr>
        <w:tabs>
          <w:tab w:val="left" w:pos="720"/>
        </w:tabs>
        <w:autoSpaceDN w:val="0"/>
        <w:spacing w:line="480" w:lineRule="exact"/>
        <w:ind w:firstLine="420" w:firstLineChars="200"/>
        <w:rPr>
          <w:rFonts w:eastAsia="微软雅黑"/>
          <w:szCs w:val="21"/>
        </w:rPr>
      </w:pPr>
      <w:r>
        <w:rPr>
          <w:rFonts w:eastAsia="微软雅黑"/>
          <w:szCs w:val="21"/>
        </w:rPr>
        <w:t>2.</w:t>
      </w:r>
      <w:r>
        <w:rPr>
          <w:rFonts w:hint="eastAsia" w:eastAsia="微软雅黑"/>
          <w:szCs w:val="21"/>
        </w:rPr>
        <w:t>双比例测试</w:t>
      </w:r>
    </w:p>
    <w:p w14:paraId="6049BF61">
      <w:pPr>
        <w:tabs>
          <w:tab w:val="left" w:pos="720"/>
        </w:tabs>
        <w:autoSpaceDN w:val="0"/>
        <w:spacing w:line="480" w:lineRule="exact"/>
        <w:ind w:firstLine="420" w:firstLineChars="200"/>
        <w:rPr>
          <w:rFonts w:eastAsia="微软雅黑"/>
          <w:szCs w:val="21"/>
        </w:rPr>
      </w:pPr>
      <w:r>
        <w:rPr>
          <w:rFonts w:eastAsia="微软雅黑"/>
          <w:szCs w:val="21"/>
        </w:rPr>
        <w:t>3.</w:t>
      </w:r>
      <w:r>
        <w:rPr>
          <w:rFonts w:hint="eastAsia" w:eastAsia="微软雅黑"/>
          <w:szCs w:val="21"/>
        </w:rPr>
        <w:t>卡方检验</w:t>
      </w:r>
    </w:p>
    <w:p w14:paraId="4FFFCC95">
      <w:pPr>
        <w:tabs>
          <w:tab w:val="left" w:pos="720"/>
        </w:tabs>
        <w:autoSpaceDN w:val="0"/>
        <w:spacing w:line="480" w:lineRule="exact"/>
        <w:ind w:firstLine="420" w:firstLineChars="200"/>
        <w:rPr>
          <w:rFonts w:eastAsia="微软雅黑"/>
          <w:szCs w:val="21"/>
        </w:rPr>
      </w:pPr>
      <w:r>
        <w:rPr>
          <w:rFonts w:eastAsia="微软雅黑"/>
          <w:szCs w:val="21"/>
        </w:rPr>
        <w:t>4.</w:t>
      </w:r>
      <w:r>
        <w:rPr>
          <w:rFonts w:hint="eastAsia" w:eastAsia="微软雅黑"/>
          <w:szCs w:val="21"/>
        </w:rPr>
        <w:t>单样本</w:t>
      </w:r>
      <w:r>
        <w:rPr>
          <w:rFonts w:eastAsia="微软雅黑"/>
          <w:szCs w:val="21"/>
        </w:rPr>
        <w:t>T</w:t>
      </w:r>
      <w:r>
        <w:rPr>
          <w:rFonts w:hint="eastAsia" w:eastAsia="微软雅黑"/>
          <w:szCs w:val="21"/>
        </w:rPr>
        <w:t>检验</w:t>
      </w:r>
    </w:p>
    <w:p w14:paraId="585CF961">
      <w:pPr>
        <w:tabs>
          <w:tab w:val="left" w:pos="720"/>
        </w:tabs>
        <w:autoSpaceDN w:val="0"/>
        <w:spacing w:line="480" w:lineRule="exact"/>
        <w:ind w:firstLine="420" w:firstLineChars="200"/>
        <w:rPr>
          <w:rFonts w:eastAsia="微软雅黑"/>
          <w:szCs w:val="21"/>
        </w:rPr>
      </w:pPr>
      <w:r>
        <w:rPr>
          <w:rFonts w:eastAsia="微软雅黑"/>
          <w:szCs w:val="21"/>
        </w:rPr>
        <w:t>5.</w:t>
      </w:r>
      <w:r>
        <w:rPr>
          <w:rFonts w:hint="eastAsia" w:eastAsia="微软雅黑"/>
          <w:szCs w:val="21"/>
        </w:rPr>
        <w:t>双样本</w:t>
      </w:r>
      <w:r>
        <w:rPr>
          <w:rFonts w:eastAsia="微软雅黑"/>
          <w:szCs w:val="21"/>
        </w:rPr>
        <w:t>T</w:t>
      </w:r>
      <w:r>
        <w:rPr>
          <w:rFonts w:hint="eastAsia" w:eastAsia="微软雅黑"/>
          <w:szCs w:val="21"/>
        </w:rPr>
        <w:t>检验</w:t>
      </w:r>
    </w:p>
    <w:p w14:paraId="09CA25B7">
      <w:pPr>
        <w:tabs>
          <w:tab w:val="left" w:pos="720"/>
        </w:tabs>
        <w:autoSpaceDN w:val="0"/>
        <w:spacing w:line="480" w:lineRule="exact"/>
        <w:ind w:firstLine="420" w:firstLineChars="200"/>
        <w:rPr>
          <w:rFonts w:eastAsia="微软雅黑"/>
          <w:szCs w:val="21"/>
        </w:rPr>
      </w:pPr>
      <w:r>
        <w:rPr>
          <w:rFonts w:eastAsia="微软雅黑"/>
          <w:szCs w:val="21"/>
        </w:rPr>
        <w:t>6.</w:t>
      </w:r>
      <w:r>
        <w:rPr>
          <w:rFonts w:hint="eastAsia" w:eastAsia="微软雅黑"/>
          <w:szCs w:val="21"/>
        </w:rPr>
        <w:t>单方差检验</w:t>
      </w:r>
    </w:p>
    <w:p w14:paraId="13BE8B51">
      <w:pPr>
        <w:tabs>
          <w:tab w:val="left" w:pos="720"/>
        </w:tabs>
        <w:autoSpaceDN w:val="0"/>
        <w:spacing w:line="480" w:lineRule="exact"/>
        <w:ind w:firstLine="420" w:firstLineChars="200"/>
        <w:rPr>
          <w:rFonts w:eastAsia="微软雅黑"/>
          <w:szCs w:val="21"/>
        </w:rPr>
      </w:pPr>
      <w:r>
        <w:rPr>
          <w:rFonts w:eastAsia="微软雅黑"/>
          <w:szCs w:val="21"/>
        </w:rPr>
        <w:t>7.</w:t>
      </w:r>
      <w:r>
        <w:rPr>
          <w:rFonts w:hint="eastAsia" w:eastAsia="微软雅黑"/>
          <w:szCs w:val="21"/>
        </w:rPr>
        <w:t>双方差检验</w:t>
      </w:r>
    </w:p>
    <w:p w14:paraId="40F71F6B">
      <w:pPr>
        <w:tabs>
          <w:tab w:val="left" w:pos="720"/>
        </w:tabs>
        <w:autoSpaceDN w:val="0"/>
        <w:spacing w:line="480" w:lineRule="exact"/>
        <w:ind w:firstLine="420" w:firstLineChars="200"/>
        <w:rPr>
          <w:rFonts w:eastAsia="微软雅黑"/>
          <w:szCs w:val="21"/>
        </w:rPr>
      </w:pPr>
      <w:r>
        <w:rPr>
          <w:rFonts w:eastAsia="微软雅黑"/>
          <w:szCs w:val="21"/>
        </w:rPr>
        <w:t>8.</w:t>
      </w:r>
      <w:r>
        <w:rPr>
          <w:rFonts w:hint="eastAsia" w:eastAsia="微软雅黑"/>
          <w:szCs w:val="21"/>
        </w:rPr>
        <w:t>一元方差分析</w:t>
      </w:r>
    </w:p>
    <w:p w14:paraId="570D15EA">
      <w:pPr>
        <w:tabs>
          <w:tab w:val="left" w:pos="720"/>
        </w:tabs>
        <w:autoSpaceDN w:val="0"/>
        <w:spacing w:line="480" w:lineRule="exact"/>
        <w:ind w:firstLine="420" w:firstLineChars="200"/>
        <w:rPr>
          <w:rFonts w:eastAsia="微软雅黑"/>
          <w:szCs w:val="21"/>
        </w:rPr>
      </w:pPr>
      <w:r>
        <w:rPr>
          <w:rFonts w:eastAsia="微软雅黑"/>
          <w:szCs w:val="21"/>
        </w:rPr>
        <w:t>9.</w:t>
      </w:r>
      <w:r>
        <w:rPr>
          <w:rFonts w:hint="eastAsia" w:eastAsia="微软雅黑"/>
          <w:szCs w:val="21"/>
        </w:rPr>
        <w:t>等方差检验</w:t>
      </w:r>
    </w:p>
    <w:p w14:paraId="0F5A9726">
      <w:pPr>
        <w:tabs>
          <w:tab w:val="left" w:pos="720"/>
        </w:tabs>
        <w:autoSpaceDN w:val="0"/>
        <w:spacing w:line="480" w:lineRule="exact"/>
        <w:ind w:firstLine="420" w:firstLineChars="200"/>
        <w:rPr>
          <w:rFonts w:eastAsia="微软雅黑"/>
          <w:szCs w:val="21"/>
        </w:rPr>
      </w:pPr>
      <w:r>
        <w:rPr>
          <w:rFonts w:eastAsia="微软雅黑"/>
          <w:szCs w:val="21"/>
        </w:rPr>
        <w:t>10.</w:t>
      </w:r>
      <w:r>
        <w:rPr>
          <w:rFonts w:hint="eastAsia" w:eastAsia="微软雅黑"/>
          <w:szCs w:val="21"/>
        </w:rPr>
        <w:t>相关和回归</w:t>
      </w:r>
    </w:p>
    <w:p w14:paraId="7C8FBDF4">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bCs/>
          <w:color w:val="C00000"/>
          <w:sz w:val="24"/>
          <w:szCs w:val="24"/>
          <w14:shadow w14:blurRad="50800" w14:dist="38100" w14:dir="2700000" w14:sx="100000" w14:sy="100000" w14:kx="0" w14:ky="0" w14:algn="tl">
            <w14:srgbClr w14:val="000000">
              <w14:alpha w14:val="60000"/>
            </w14:srgbClr>
          </w14:shadow>
        </w:rPr>
        <w:t>Improve Phase</w:t>
      </w:r>
    </w:p>
    <w:p w14:paraId="2953293D">
      <w:pPr>
        <w:numPr>
          <w:ilvl w:val="0"/>
          <w:numId w:val="2"/>
        </w:numPr>
        <w:tabs>
          <w:tab w:val="left" w:pos="426"/>
          <w:tab w:val="left" w:pos="720"/>
        </w:tabs>
        <w:autoSpaceDN w:val="0"/>
        <w:spacing w:line="480" w:lineRule="exact"/>
        <w:ind w:left="0" w:firstLine="0"/>
        <w:rPr>
          <w:rFonts w:eastAsia="微软雅黑"/>
          <w:szCs w:val="21"/>
        </w:rPr>
      </w:pPr>
      <w:r>
        <w:rPr>
          <w:rFonts w:eastAsia="微软雅黑"/>
          <w:szCs w:val="21"/>
        </w:rPr>
        <w:t xml:space="preserve">2k </w:t>
      </w:r>
      <w:r>
        <w:rPr>
          <w:rFonts w:hint="eastAsia" w:eastAsia="微软雅黑"/>
          <w:szCs w:val="21"/>
        </w:rPr>
        <w:t>试验设计法</w:t>
      </w:r>
    </w:p>
    <w:p w14:paraId="0837628E">
      <w:pPr>
        <w:numPr>
          <w:ilvl w:val="0"/>
          <w:numId w:val="2"/>
        </w:numPr>
        <w:tabs>
          <w:tab w:val="left" w:pos="426"/>
          <w:tab w:val="left" w:pos="720"/>
        </w:tabs>
        <w:autoSpaceDN w:val="0"/>
        <w:spacing w:line="480" w:lineRule="exact"/>
        <w:ind w:left="0" w:firstLine="0"/>
        <w:rPr>
          <w:rFonts w:eastAsia="微软雅黑"/>
          <w:szCs w:val="21"/>
        </w:rPr>
      </w:pPr>
      <w:r>
        <w:rPr>
          <w:rFonts w:hint="eastAsia" w:eastAsia="微软雅黑"/>
          <w:szCs w:val="21"/>
        </w:rPr>
        <w:t>响应曲面法试验设计</w:t>
      </w:r>
    </w:p>
    <w:p w14:paraId="2BBDC058">
      <w:pPr>
        <w:numPr>
          <w:ilvl w:val="0"/>
          <w:numId w:val="2"/>
        </w:numPr>
        <w:tabs>
          <w:tab w:val="left" w:pos="426"/>
          <w:tab w:val="left" w:pos="720"/>
        </w:tabs>
        <w:autoSpaceDN w:val="0"/>
        <w:spacing w:line="480" w:lineRule="exact"/>
        <w:ind w:left="0" w:firstLine="0"/>
        <w:rPr>
          <w:rFonts w:eastAsia="微软雅黑"/>
          <w:szCs w:val="21"/>
        </w:rPr>
      </w:pPr>
      <w:r>
        <w:rPr>
          <w:rFonts w:hint="eastAsia" w:eastAsia="微软雅黑"/>
          <w:szCs w:val="21"/>
        </w:rPr>
        <w:t>部分实施试验</w:t>
      </w:r>
    </w:p>
    <w:p w14:paraId="7A993AC7">
      <w:pPr>
        <w:numPr>
          <w:ilvl w:val="0"/>
          <w:numId w:val="2"/>
        </w:numPr>
        <w:tabs>
          <w:tab w:val="left" w:pos="426"/>
          <w:tab w:val="left" w:pos="720"/>
        </w:tabs>
        <w:autoSpaceDN w:val="0"/>
        <w:spacing w:line="480" w:lineRule="exact"/>
        <w:ind w:left="0" w:firstLine="0"/>
        <w:rPr>
          <w:rFonts w:eastAsia="微软雅黑"/>
          <w:szCs w:val="21"/>
        </w:rPr>
      </w:pPr>
      <w:r>
        <w:rPr>
          <w:rFonts w:eastAsia="微软雅黑"/>
          <w:szCs w:val="21"/>
        </w:rPr>
        <w:t>EVOP/PLEX</w:t>
      </w:r>
    </w:p>
    <w:p w14:paraId="04254303">
      <w:pPr>
        <w:numPr>
          <w:ilvl w:val="0"/>
          <w:numId w:val="2"/>
        </w:numPr>
        <w:tabs>
          <w:tab w:val="left" w:pos="426"/>
          <w:tab w:val="left" w:pos="720"/>
        </w:tabs>
        <w:autoSpaceDN w:val="0"/>
        <w:spacing w:line="480" w:lineRule="exact"/>
        <w:ind w:left="0" w:firstLine="0"/>
        <w:rPr>
          <w:rFonts w:eastAsia="微软雅黑"/>
          <w:szCs w:val="21"/>
        </w:rPr>
      </w:pPr>
      <w:r>
        <w:rPr>
          <w:rFonts w:hint="eastAsia" w:eastAsia="微软雅黑"/>
          <w:szCs w:val="21"/>
        </w:rPr>
        <w:t>排序、选择最佳方案</w:t>
      </w:r>
    </w:p>
    <w:p w14:paraId="66702DD1">
      <w:pPr>
        <w:numPr>
          <w:ilvl w:val="0"/>
          <w:numId w:val="2"/>
        </w:numPr>
        <w:tabs>
          <w:tab w:val="left" w:pos="426"/>
          <w:tab w:val="left" w:pos="720"/>
        </w:tabs>
        <w:autoSpaceDN w:val="0"/>
        <w:spacing w:line="480" w:lineRule="exact"/>
        <w:ind w:left="0" w:firstLine="0"/>
        <w:rPr>
          <w:rFonts w:eastAsia="微软雅黑"/>
          <w:szCs w:val="21"/>
        </w:rPr>
      </w:pPr>
      <w:r>
        <w:rPr>
          <w:rFonts w:hint="eastAsia" w:eastAsia="微软雅黑"/>
          <w:szCs w:val="21"/>
        </w:rPr>
        <w:t>制定试行方案</w:t>
      </w:r>
    </w:p>
    <w:p w14:paraId="432325DC">
      <w:pPr>
        <w:numPr>
          <w:ilvl w:val="0"/>
          <w:numId w:val="2"/>
        </w:numPr>
        <w:tabs>
          <w:tab w:val="left" w:pos="426"/>
          <w:tab w:val="left" w:pos="720"/>
        </w:tabs>
        <w:autoSpaceDN w:val="0"/>
        <w:spacing w:line="480" w:lineRule="exact"/>
        <w:ind w:left="0" w:firstLine="0"/>
        <w:rPr>
          <w:rFonts w:eastAsia="微软雅黑"/>
          <w:szCs w:val="21"/>
        </w:rPr>
      </w:pPr>
      <w:r>
        <w:rPr>
          <w:rFonts w:hint="eastAsia" w:eastAsia="微软雅黑"/>
          <w:szCs w:val="21"/>
        </w:rPr>
        <w:t>管理变革</w:t>
      </w:r>
    </w:p>
    <w:p w14:paraId="3E6BB257">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bCs/>
          <w:color w:val="C00000"/>
          <w:sz w:val="24"/>
          <w:szCs w:val="24"/>
          <w14:shadow w14:blurRad="50800" w14:dist="38100" w14:dir="2700000" w14:sx="100000" w14:sy="100000" w14:kx="0" w14:ky="0" w14:algn="tl">
            <w14:srgbClr w14:val="000000">
              <w14:alpha w14:val="60000"/>
            </w14:srgbClr>
          </w14:shadow>
        </w:rPr>
        <w:t>Control  Phase</w:t>
      </w:r>
    </w:p>
    <w:p w14:paraId="5C202F24">
      <w:pPr>
        <w:numPr>
          <w:ilvl w:val="0"/>
          <w:numId w:val="2"/>
        </w:numPr>
        <w:tabs>
          <w:tab w:val="left" w:pos="426"/>
          <w:tab w:val="left" w:pos="720"/>
        </w:tabs>
        <w:autoSpaceDN w:val="0"/>
        <w:spacing w:line="480" w:lineRule="exact"/>
        <w:ind w:left="0" w:firstLine="0"/>
        <w:rPr>
          <w:rFonts w:eastAsia="微软雅黑"/>
          <w:szCs w:val="21"/>
        </w:rPr>
      </w:pPr>
      <w:r>
        <w:rPr>
          <w:rFonts w:hint="eastAsia" w:eastAsia="微软雅黑"/>
          <w:szCs w:val="21"/>
        </w:rPr>
        <w:t>防呆措施</w:t>
      </w:r>
    </w:p>
    <w:p w14:paraId="7E784A4E">
      <w:pPr>
        <w:numPr>
          <w:ilvl w:val="0"/>
          <w:numId w:val="2"/>
        </w:numPr>
        <w:tabs>
          <w:tab w:val="left" w:pos="426"/>
          <w:tab w:val="left" w:pos="720"/>
        </w:tabs>
        <w:autoSpaceDN w:val="0"/>
        <w:spacing w:line="480" w:lineRule="exact"/>
        <w:ind w:left="0" w:firstLine="0"/>
        <w:rPr>
          <w:rFonts w:eastAsia="微软雅黑"/>
          <w:szCs w:val="21"/>
        </w:rPr>
      </w:pPr>
      <w:r>
        <w:rPr>
          <w:rFonts w:hint="eastAsia" w:eastAsia="微软雅黑"/>
          <w:szCs w:val="21"/>
        </w:rPr>
        <w:t>标准化</w:t>
      </w:r>
    </w:p>
    <w:p w14:paraId="45775789">
      <w:pPr>
        <w:numPr>
          <w:ilvl w:val="0"/>
          <w:numId w:val="2"/>
        </w:numPr>
        <w:tabs>
          <w:tab w:val="left" w:pos="426"/>
          <w:tab w:val="left" w:pos="720"/>
        </w:tabs>
        <w:autoSpaceDN w:val="0"/>
        <w:spacing w:line="480" w:lineRule="exact"/>
        <w:ind w:left="0" w:firstLine="0"/>
        <w:rPr>
          <w:rFonts w:eastAsia="微软雅黑"/>
          <w:szCs w:val="21"/>
        </w:rPr>
      </w:pPr>
      <w:r>
        <w:rPr>
          <w:rFonts w:hint="eastAsia" w:eastAsia="微软雅黑"/>
          <w:szCs w:val="21"/>
        </w:rPr>
        <w:t>回顾和行动计划</w:t>
      </w:r>
    </w:p>
    <w:p w14:paraId="3E81BAA2">
      <w:pPr>
        <w:numPr>
          <w:ilvl w:val="0"/>
          <w:numId w:val="2"/>
        </w:numPr>
        <w:tabs>
          <w:tab w:val="left" w:pos="426"/>
          <w:tab w:val="left" w:pos="720"/>
        </w:tabs>
        <w:autoSpaceDN w:val="0"/>
        <w:spacing w:line="480" w:lineRule="exact"/>
        <w:ind w:left="0" w:firstLine="0"/>
        <w:rPr>
          <w:rFonts w:eastAsia="微软雅黑"/>
          <w:szCs w:val="21"/>
        </w:rPr>
      </w:pPr>
      <w:r>
        <w:rPr>
          <w:rFonts w:hint="eastAsia" w:eastAsia="微软雅黑"/>
          <w:szCs w:val="21"/>
        </w:rPr>
        <w:t>实施统计过程控制</w:t>
      </w:r>
      <w:r>
        <w:rPr>
          <w:rFonts w:eastAsia="微软雅黑"/>
          <w:szCs w:val="21"/>
        </w:rPr>
        <w:t>(SPC)</w:t>
      </w:r>
    </w:p>
    <w:p w14:paraId="256EED6D">
      <w:pPr>
        <w:numPr>
          <w:ilvl w:val="0"/>
          <w:numId w:val="2"/>
        </w:numPr>
        <w:tabs>
          <w:tab w:val="left" w:pos="426"/>
          <w:tab w:val="left" w:pos="720"/>
        </w:tabs>
        <w:autoSpaceDN w:val="0"/>
        <w:spacing w:line="480" w:lineRule="exact"/>
        <w:ind w:left="0" w:firstLine="0"/>
        <w:rPr>
          <w:rFonts w:eastAsia="微软雅黑"/>
          <w:szCs w:val="21"/>
        </w:rPr>
      </w:pPr>
      <w:r>
        <w:rPr>
          <w:rFonts w:hint="eastAsia" w:eastAsia="微软雅黑"/>
          <w:szCs w:val="21"/>
        </w:rPr>
        <w:t>整合过程</w:t>
      </w:r>
    </w:p>
    <w:p w14:paraId="7F36AA4C">
      <w:pPr>
        <w:numPr>
          <w:ilvl w:val="0"/>
          <w:numId w:val="2"/>
        </w:numPr>
        <w:tabs>
          <w:tab w:val="left" w:pos="426"/>
          <w:tab w:val="left" w:pos="720"/>
        </w:tabs>
        <w:autoSpaceDN w:val="0"/>
        <w:spacing w:line="480" w:lineRule="exact"/>
        <w:ind w:left="0" w:firstLine="0"/>
        <w:rPr>
          <w:rFonts w:eastAsia="微软雅黑"/>
          <w:szCs w:val="21"/>
        </w:rPr>
      </w:pPr>
      <w:r>
        <w:rPr>
          <w:rFonts w:hint="eastAsia" w:eastAsia="微软雅黑"/>
          <w:szCs w:val="21"/>
        </w:rPr>
        <w:t>项目报告撰写规范与要点</w:t>
      </w:r>
    </w:p>
    <w:p w14:paraId="29A682E3">
      <w:pPr>
        <w:numPr>
          <w:ilvl w:val="0"/>
          <w:numId w:val="2"/>
        </w:numPr>
        <w:tabs>
          <w:tab w:val="left" w:pos="426"/>
          <w:tab w:val="left" w:pos="720"/>
        </w:tabs>
        <w:autoSpaceDN w:val="0"/>
        <w:spacing w:line="480" w:lineRule="exact"/>
        <w:ind w:left="0" w:firstLine="0"/>
        <w:rPr>
          <w:rFonts w:eastAsia="微软雅黑"/>
          <w:szCs w:val="21"/>
        </w:rPr>
      </w:pPr>
      <w:r>
        <w:rPr>
          <w:rFonts w:hint="eastAsia" w:eastAsia="微软雅黑"/>
          <w:szCs w:val="21"/>
        </w:rPr>
        <w:t>考试</w:t>
      </w:r>
    </w:p>
    <w:p w14:paraId="73DF15C3">
      <w:pPr>
        <w:spacing w:line="480" w:lineRule="exact"/>
        <w:rPr>
          <w:rFonts w:eastAsia="微软雅黑"/>
          <w:b/>
          <w:i/>
          <w:szCs w:val="21"/>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讲师介绍：</w:t>
      </w:r>
      <w:r>
        <w:rPr>
          <w:rFonts w:eastAsia="微软雅黑"/>
          <w:b/>
          <w:sz w:val="24"/>
          <w:szCs w:val="24"/>
          <w14:shadow w14:blurRad="50800" w14:dist="38100" w14:dir="2700000" w14:sx="100000" w14:sy="100000" w14:kx="0" w14:ky="0" w14:algn="tl">
            <w14:srgbClr w14:val="000000">
              <w14:alpha w14:val="60000"/>
            </w14:srgbClr>
          </w14:shadow>
        </w:rPr>
        <w:t>闵老师</w:t>
      </w:r>
    </w:p>
    <w:p w14:paraId="1E92BD72">
      <w:pPr>
        <w:spacing w:line="480" w:lineRule="exact"/>
        <w:rPr>
          <w:rFonts w:eastAsia="微软雅黑"/>
          <w:b/>
          <w:i/>
          <w:szCs w:val="21"/>
          <w14:shadow w14:blurRad="50800" w14:dist="38100" w14:dir="2700000" w14:sx="100000" w14:sy="100000" w14:kx="0" w14:ky="0" w14:algn="tl">
            <w14:srgbClr w14:val="000000">
              <w14:alpha w14:val="60000"/>
            </w14:srgbClr>
          </w14:shadow>
        </w:rPr>
      </w:pPr>
      <w:r>
        <w:rPr>
          <w:rFonts w:eastAsia="微软雅黑"/>
          <w:b/>
          <w:bCs/>
          <w:szCs w:val="21"/>
        </w:rPr>
        <w:t>黑带大师</w:t>
      </w:r>
      <w:r>
        <w:rPr>
          <w:rFonts w:hint="eastAsia" w:eastAsia="微软雅黑"/>
          <w:b/>
          <w:bCs/>
          <w:szCs w:val="21"/>
        </w:rPr>
        <w:t>(MBB)</w:t>
      </w:r>
      <w:r>
        <w:rPr>
          <w:rFonts w:eastAsia="微软雅黑"/>
          <w:b/>
          <w:bCs/>
          <w:szCs w:val="21"/>
        </w:rPr>
        <w:t>，DOE专家</w:t>
      </w:r>
      <w:r>
        <w:rPr>
          <w:rFonts w:hint="eastAsia" w:eastAsia="微软雅黑"/>
          <w:b/>
          <w:bCs/>
          <w:szCs w:val="21"/>
        </w:rPr>
        <w:t xml:space="preserve"> </w:t>
      </w:r>
      <w:r>
        <w:rPr>
          <w:rFonts w:eastAsia="微软雅黑"/>
          <w:b/>
          <w:bCs/>
          <w:szCs w:val="21"/>
        </w:rPr>
        <w:t xml:space="preserve"> 教授级高工</w:t>
      </w:r>
    </w:p>
    <w:p w14:paraId="4C540E92">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主要资历：</w:t>
      </w:r>
    </w:p>
    <w:p w14:paraId="611140E4">
      <w:pPr>
        <w:numPr>
          <w:ilvl w:val="0"/>
          <w:numId w:val="2"/>
        </w:numPr>
        <w:autoSpaceDN w:val="0"/>
        <w:spacing w:line="480" w:lineRule="exact"/>
        <w:ind w:left="0" w:firstLine="0"/>
        <w:rPr>
          <w:rFonts w:eastAsia="微软雅黑"/>
          <w:szCs w:val="21"/>
        </w:rPr>
      </w:pPr>
      <w:r>
        <w:rPr>
          <w:rFonts w:eastAsia="微软雅黑"/>
          <w:szCs w:val="21"/>
        </w:rPr>
        <w:t>高级咨询师  黑带大师(MBB)</w:t>
      </w:r>
    </w:p>
    <w:p w14:paraId="142AFB3B">
      <w:pPr>
        <w:numPr>
          <w:ilvl w:val="0"/>
          <w:numId w:val="2"/>
        </w:numPr>
        <w:autoSpaceDN w:val="0"/>
        <w:spacing w:line="480" w:lineRule="exact"/>
        <w:ind w:left="0" w:firstLine="0"/>
        <w:rPr>
          <w:rFonts w:eastAsia="微软雅黑"/>
          <w:szCs w:val="21"/>
        </w:rPr>
      </w:pPr>
      <w:r>
        <w:rPr>
          <w:rFonts w:eastAsia="微软雅黑"/>
          <w:szCs w:val="21"/>
        </w:rPr>
        <w:t>北京大学质量与竞争力研究中心研究员、北大光华管理学院教授</w:t>
      </w:r>
    </w:p>
    <w:p w14:paraId="07716D6F">
      <w:pPr>
        <w:numPr>
          <w:ilvl w:val="0"/>
          <w:numId w:val="2"/>
        </w:numPr>
        <w:autoSpaceDN w:val="0"/>
        <w:spacing w:line="480" w:lineRule="exact"/>
        <w:ind w:left="0" w:firstLine="0"/>
        <w:rPr>
          <w:rFonts w:eastAsia="微软雅黑"/>
          <w:szCs w:val="21"/>
        </w:rPr>
      </w:pPr>
      <w:r>
        <w:rPr>
          <w:rFonts w:eastAsia="微软雅黑"/>
          <w:szCs w:val="21"/>
        </w:rPr>
        <w:t>全国六西格玛管理推进委员会专家委员、DFSS小组核心成员</w:t>
      </w:r>
    </w:p>
    <w:p w14:paraId="644AEC0F">
      <w:pPr>
        <w:numPr>
          <w:ilvl w:val="0"/>
          <w:numId w:val="2"/>
        </w:numPr>
        <w:autoSpaceDN w:val="0"/>
        <w:spacing w:line="480" w:lineRule="exact"/>
        <w:ind w:left="0" w:firstLine="0"/>
        <w:rPr>
          <w:rFonts w:eastAsia="微软雅黑"/>
          <w:szCs w:val="21"/>
        </w:rPr>
      </w:pPr>
      <w:r>
        <w:rPr>
          <w:rFonts w:eastAsia="微软雅黑"/>
          <w:szCs w:val="21"/>
        </w:rPr>
        <w:t>上海市质量协会质量技术奖评审专家</w:t>
      </w:r>
    </w:p>
    <w:p w14:paraId="51EAFEA3">
      <w:pPr>
        <w:numPr>
          <w:ilvl w:val="0"/>
          <w:numId w:val="2"/>
        </w:numPr>
        <w:autoSpaceDN w:val="0"/>
        <w:spacing w:line="480" w:lineRule="exact"/>
        <w:ind w:left="0" w:firstLine="0"/>
        <w:rPr>
          <w:rFonts w:eastAsia="微软雅黑"/>
          <w:szCs w:val="21"/>
        </w:rPr>
      </w:pPr>
      <w:r>
        <w:rPr>
          <w:rFonts w:eastAsia="微软雅黑"/>
          <w:szCs w:val="21"/>
        </w:rPr>
        <w:t>摩托罗拉大学认证精益六西格玛／六西格玛设计(DFSS)讲师、顾问</w:t>
      </w:r>
    </w:p>
    <w:p w14:paraId="47B4CE6B">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主要工作经历：</w:t>
      </w:r>
    </w:p>
    <w:p w14:paraId="4374989B">
      <w:pPr>
        <w:numPr>
          <w:ilvl w:val="0"/>
          <w:numId w:val="2"/>
        </w:numPr>
        <w:autoSpaceDN w:val="0"/>
        <w:spacing w:line="480" w:lineRule="exact"/>
        <w:ind w:left="0" w:firstLine="0"/>
        <w:rPr>
          <w:rFonts w:eastAsia="微软雅黑"/>
          <w:szCs w:val="21"/>
        </w:rPr>
      </w:pPr>
      <w:r>
        <w:rPr>
          <w:rFonts w:eastAsia="微软雅黑"/>
          <w:szCs w:val="21"/>
        </w:rPr>
        <w:t>北京大学质量与竞争力研究中心研究员、北京大学教授；</w:t>
      </w:r>
    </w:p>
    <w:p w14:paraId="77B318F0">
      <w:pPr>
        <w:numPr>
          <w:ilvl w:val="0"/>
          <w:numId w:val="2"/>
        </w:numPr>
        <w:autoSpaceDN w:val="0"/>
        <w:spacing w:line="480" w:lineRule="exact"/>
        <w:ind w:left="0" w:firstLine="0"/>
        <w:rPr>
          <w:rFonts w:eastAsia="微软雅黑"/>
          <w:szCs w:val="21"/>
        </w:rPr>
      </w:pPr>
      <w:r>
        <w:rPr>
          <w:rFonts w:eastAsia="微软雅黑"/>
          <w:szCs w:val="21"/>
        </w:rPr>
        <w:t>积塔(先进)半导体制造有限公司六西格玛资深经理，黑带大师(MBB)，教授级高级工程师，六西格玛首席培训师与顾问；</w:t>
      </w:r>
    </w:p>
    <w:p w14:paraId="01CDF8A0">
      <w:pPr>
        <w:numPr>
          <w:ilvl w:val="0"/>
          <w:numId w:val="2"/>
        </w:numPr>
        <w:autoSpaceDN w:val="0"/>
        <w:spacing w:line="480" w:lineRule="exact"/>
        <w:ind w:left="0" w:firstLine="0"/>
        <w:rPr>
          <w:rFonts w:eastAsia="微软雅黑"/>
          <w:szCs w:val="21"/>
        </w:rPr>
      </w:pPr>
      <w:r>
        <w:rPr>
          <w:rFonts w:eastAsia="微软雅黑"/>
          <w:szCs w:val="21"/>
        </w:rPr>
        <w:t>上海永新彩管有限公司，先后任资深开发工程师、高级统计技术工程师、实验设计DOE专家；</w:t>
      </w:r>
    </w:p>
    <w:p w14:paraId="6CDA7C36">
      <w:pPr>
        <w:numPr>
          <w:ilvl w:val="0"/>
          <w:numId w:val="2"/>
        </w:numPr>
        <w:autoSpaceDN w:val="0"/>
        <w:spacing w:line="480" w:lineRule="exact"/>
        <w:ind w:left="0" w:firstLine="0"/>
        <w:rPr>
          <w:rFonts w:eastAsia="微软雅黑"/>
          <w:szCs w:val="21"/>
        </w:rPr>
      </w:pPr>
      <w:r>
        <w:rPr>
          <w:rFonts w:eastAsia="微软雅黑"/>
          <w:szCs w:val="21"/>
        </w:rPr>
        <w:t>曾接受多位设计与质量专家的培训与指导，并在长期实践中积累了丰富经验，经过多年大量的一线实践，总结并形成了适合中国企业市场开拓、产品开发、工艺改进与质量提升的完整方法论。</w:t>
      </w:r>
    </w:p>
    <w:p w14:paraId="43EB028D">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近期部分成果：</w:t>
      </w:r>
    </w:p>
    <w:p w14:paraId="216447DA">
      <w:pPr>
        <w:numPr>
          <w:ilvl w:val="0"/>
          <w:numId w:val="2"/>
        </w:numPr>
        <w:autoSpaceDN w:val="0"/>
        <w:spacing w:line="480" w:lineRule="exact"/>
        <w:ind w:left="0" w:firstLine="0"/>
        <w:rPr>
          <w:rFonts w:eastAsia="微软雅黑"/>
          <w:szCs w:val="21"/>
        </w:rPr>
      </w:pPr>
      <w:r>
        <w:rPr>
          <w:rFonts w:eastAsia="微软雅黑"/>
          <w:szCs w:val="21"/>
        </w:rPr>
        <w:t>指导完成的宝钢集团的“提高弱粘结煤配比，降低配煤成本”，为公司节约2258万元/年，并申请了专利；</w:t>
      </w:r>
    </w:p>
    <w:p w14:paraId="0EACB24A">
      <w:pPr>
        <w:numPr>
          <w:ilvl w:val="0"/>
          <w:numId w:val="2"/>
        </w:numPr>
        <w:autoSpaceDN w:val="0"/>
        <w:spacing w:line="480" w:lineRule="exact"/>
        <w:ind w:left="0" w:firstLine="0"/>
        <w:rPr>
          <w:rFonts w:eastAsia="微软雅黑"/>
          <w:szCs w:val="21"/>
        </w:rPr>
      </w:pPr>
      <w:r>
        <w:rPr>
          <w:rFonts w:eastAsia="微软雅黑"/>
          <w:szCs w:val="21"/>
        </w:rPr>
        <w:t>成功辅导了400多个实验设计项目，为世界级及国内著名企业帮助增加经济收益累计超过人民币26亿元，仅2011年就超过7.6亿元……</w:t>
      </w:r>
    </w:p>
    <w:p w14:paraId="79CBDF8C">
      <w:pPr>
        <w:numPr>
          <w:ilvl w:val="0"/>
          <w:numId w:val="2"/>
        </w:numPr>
        <w:autoSpaceDN w:val="0"/>
        <w:spacing w:line="480" w:lineRule="exact"/>
        <w:ind w:left="0" w:firstLine="0"/>
        <w:rPr>
          <w:rFonts w:eastAsia="微软雅黑"/>
          <w:szCs w:val="21"/>
        </w:rPr>
      </w:pPr>
      <w:r>
        <w:rPr>
          <w:rFonts w:eastAsia="微软雅黑"/>
          <w:szCs w:val="21"/>
        </w:rPr>
        <w:t>2020~2022三年为ASMC半导体公司完成指导超过40个六西格玛黑带/绿带项目，年创收益6700多万元，仅2022年申报专利25个。</w:t>
      </w:r>
    </w:p>
    <w:p w14:paraId="374F9E39">
      <w:pPr>
        <w:numPr>
          <w:ilvl w:val="0"/>
          <w:numId w:val="2"/>
        </w:numPr>
        <w:autoSpaceDN w:val="0"/>
        <w:spacing w:line="480" w:lineRule="exact"/>
        <w:ind w:left="0" w:firstLine="0"/>
        <w:rPr>
          <w:rFonts w:eastAsia="微软雅黑"/>
          <w:szCs w:val="21"/>
        </w:rPr>
      </w:pPr>
      <w:r>
        <w:rPr>
          <w:rFonts w:eastAsia="微软雅黑"/>
          <w:szCs w:val="21"/>
        </w:rPr>
        <w:t>2021年帮助中元汇吉完成36个DOE项目辅导，对中国新冠试剂的大量配方研制成功作出了重要贡献。</w:t>
      </w:r>
    </w:p>
    <w:p w14:paraId="1690F66C">
      <w:pPr>
        <w:numPr>
          <w:ilvl w:val="0"/>
          <w:numId w:val="2"/>
        </w:numPr>
        <w:autoSpaceDN w:val="0"/>
        <w:spacing w:line="480" w:lineRule="exact"/>
        <w:ind w:left="0" w:firstLine="0"/>
        <w:rPr>
          <w:rFonts w:eastAsia="微软雅黑"/>
          <w:szCs w:val="21"/>
        </w:rPr>
      </w:pPr>
      <w:r>
        <w:rPr>
          <w:rFonts w:eastAsia="微软雅黑"/>
          <w:szCs w:val="21"/>
        </w:rPr>
        <w:t>2022~2023年帮助先健科技完成34个DOE项目辅导；</w:t>
      </w:r>
    </w:p>
    <w:p w14:paraId="692042C4">
      <w:pPr>
        <w:numPr>
          <w:ilvl w:val="0"/>
          <w:numId w:val="2"/>
        </w:numPr>
        <w:autoSpaceDN w:val="0"/>
        <w:spacing w:line="480" w:lineRule="exact"/>
        <w:ind w:left="0" w:firstLine="0"/>
        <w:rPr>
          <w:rFonts w:eastAsia="微软雅黑"/>
          <w:szCs w:val="21"/>
        </w:rPr>
      </w:pPr>
      <w:r>
        <w:rPr>
          <w:rFonts w:eastAsia="微软雅黑"/>
          <w:szCs w:val="21"/>
        </w:rPr>
        <w:t>2021~2023</w:t>
      </w:r>
      <w:r>
        <w:rPr>
          <w:rFonts w:hint="eastAsia" w:eastAsia="微软雅黑"/>
          <w:szCs w:val="21"/>
        </w:rPr>
        <w:t>年</w:t>
      </w:r>
      <w:r>
        <w:rPr>
          <w:rFonts w:eastAsia="微软雅黑"/>
          <w:szCs w:val="21"/>
        </w:rPr>
        <w:t>帮助PPG完成一期黑带与</w:t>
      </w:r>
      <w:r>
        <w:rPr>
          <w:rFonts w:hint="eastAsia" w:eastAsia="微软雅黑"/>
          <w:szCs w:val="21"/>
        </w:rPr>
        <w:t>五</w:t>
      </w:r>
      <w:r>
        <w:rPr>
          <w:rFonts w:eastAsia="微软雅黑"/>
          <w:szCs w:val="21"/>
        </w:rPr>
        <w:t>期绿带培训与辅导，完成项目30个，经济收益3650多万元/年。</w:t>
      </w:r>
    </w:p>
    <w:p w14:paraId="7DB14C30">
      <w:pPr>
        <w:numPr>
          <w:ilvl w:val="0"/>
          <w:numId w:val="2"/>
        </w:numPr>
        <w:autoSpaceDN w:val="0"/>
        <w:spacing w:line="480" w:lineRule="exact"/>
        <w:ind w:left="0" w:firstLine="0"/>
        <w:rPr>
          <w:rFonts w:eastAsia="微软雅黑"/>
          <w:szCs w:val="21"/>
        </w:rPr>
      </w:pPr>
      <w:r>
        <w:rPr>
          <w:rFonts w:eastAsia="微软雅黑"/>
          <w:szCs w:val="21"/>
        </w:rPr>
        <w:t>2022~2023年帮助重庆冠宇电池完成了7个绿带项目的辅导，经济收益2646.264万元/年。</w:t>
      </w:r>
    </w:p>
    <w:p w14:paraId="482E6B7C">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专业技能/擅长课程：</w:t>
      </w:r>
    </w:p>
    <w:p w14:paraId="40467A31">
      <w:pPr>
        <w:numPr>
          <w:ilvl w:val="0"/>
          <w:numId w:val="2"/>
        </w:numPr>
        <w:autoSpaceDN w:val="0"/>
        <w:spacing w:line="480" w:lineRule="exact"/>
        <w:ind w:left="0" w:firstLine="0"/>
        <w:rPr>
          <w:rFonts w:eastAsia="微软雅黑"/>
          <w:szCs w:val="21"/>
        </w:rPr>
      </w:pPr>
      <w:r>
        <w:rPr>
          <w:rFonts w:eastAsia="微软雅黑"/>
          <w:szCs w:val="21"/>
        </w:rPr>
        <w:t>实验设计</w:t>
      </w:r>
      <w:r>
        <w:rPr>
          <w:rFonts w:hint="eastAsia" w:eastAsia="微软雅黑"/>
          <w:szCs w:val="21"/>
        </w:rPr>
        <w:t>（</w:t>
      </w:r>
      <w:r>
        <w:rPr>
          <w:rFonts w:eastAsia="微软雅黑"/>
          <w:szCs w:val="21"/>
        </w:rPr>
        <w:t>DOE</w:t>
      </w:r>
      <w:r>
        <w:rPr>
          <w:rFonts w:hint="eastAsia" w:eastAsia="微软雅黑"/>
          <w:szCs w:val="21"/>
        </w:rPr>
        <w:t>）</w:t>
      </w:r>
      <w:r>
        <w:rPr>
          <w:rFonts w:eastAsia="微软雅黑"/>
          <w:szCs w:val="21"/>
        </w:rPr>
        <w:t>、混料</w:t>
      </w:r>
      <w:r>
        <w:rPr>
          <w:rFonts w:hint="eastAsia" w:eastAsia="微软雅黑"/>
          <w:szCs w:val="21"/>
        </w:rPr>
        <w:t>（</w:t>
      </w:r>
      <w:r>
        <w:rPr>
          <w:rFonts w:eastAsia="微软雅黑"/>
          <w:szCs w:val="21"/>
        </w:rPr>
        <w:t>配方</w:t>
      </w:r>
      <w:r>
        <w:rPr>
          <w:rFonts w:hint="eastAsia" w:eastAsia="微软雅黑"/>
          <w:szCs w:val="21"/>
        </w:rPr>
        <w:t>）</w:t>
      </w:r>
      <w:r>
        <w:rPr>
          <w:rFonts w:eastAsia="微软雅黑"/>
          <w:szCs w:val="21"/>
        </w:rPr>
        <w:t>设计、稳健</w:t>
      </w:r>
      <w:r>
        <w:rPr>
          <w:rFonts w:hint="eastAsia" w:eastAsia="微软雅黑"/>
          <w:szCs w:val="21"/>
        </w:rPr>
        <w:t>（</w:t>
      </w:r>
      <w:r>
        <w:rPr>
          <w:rFonts w:eastAsia="微软雅黑"/>
          <w:szCs w:val="21"/>
        </w:rPr>
        <w:t>田口</w:t>
      </w:r>
      <w:r>
        <w:rPr>
          <w:rFonts w:hint="eastAsia" w:eastAsia="微软雅黑"/>
          <w:szCs w:val="21"/>
        </w:rPr>
        <w:t>）</w:t>
      </w:r>
      <w:r>
        <w:rPr>
          <w:rFonts w:eastAsia="微软雅黑"/>
          <w:szCs w:val="21"/>
        </w:rPr>
        <w:t>设计；</w:t>
      </w:r>
    </w:p>
    <w:p w14:paraId="614402BA">
      <w:pPr>
        <w:numPr>
          <w:ilvl w:val="0"/>
          <w:numId w:val="2"/>
        </w:numPr>
        <w:autoSpaceDN w:val="0"/>
        <w:spacing w:line="480" w:lineRule="exact"/>
        <w:ind w:left="0" w:firstLine="0"/>
        <w:rPr>
          <w:rFonts w:eastAsia="微软雅黑"/>
          <w:szCs w:val="21"/>
        </w:rPr>
      </w:pPr>
      <w:r>
        <w:rPr>
          <w:rFonts w:eastAsia="微软雅黑"/>
          <w:szCs w:val="21"/>
        </w:rPr>
        <w:t>六西格玛管理、六西格玛设计(DFSS)；</w:t>
      </w:r>
    </w:p>
    <w:p w14:paraId="623FE018">
      <w:pPr>
        <w:numPr>
          <w:ilvl w:val="0"/>
          <w:numId w:val="2"/>
        </w:numPr>
        <w:autoSpaceDN w:val="0"/>
        <w:spacing w:line="480" w:lineRule="exact"/>
        <w:ind w:left="0" w:firstLine="0"/>
        <w:rPr>
          <w:rFonts w:eastAsia="微软雅黑"/>
          <w:szCs w:val="21"/>
        </w:rPr>
      </w:pPr>
      <w:r>
        <w:rPr>
          <w:rFonts w:eastAsia="微软雅黑"/>
          <w:szCs w:val="21"/>
        </w:rPr>
        <w:t>概念设计/ QFD/ CPM/ DFMEA/ PFMEA / TRIZ / 蒙特卡洛模拟/ DFX/ 公差设计/ 可靠性工程等；</w:t>
      </w:r>
    </w:p>
    <w:p w14:paraId="7E9A9604">
      <w:pPr>
        <w:numPr>
          <w:ilvl w:val="0"/>
          <w:numId w:val="2"/>
        </w:numPr>
        <w:autoSpaceDN w:val="0"/>
        <w:spacing w:line="480" w:lineRule="exact"/>
        <w:ind w:left="0" w:firstLine="0"/>
        <w:rPr>
          <w:rFonts w:eastAsia="微软雅黑"/>
          <w:szCs w:val="21"/>
        </w:rPr>
      </w:pPr>
      <w:r>
        <w:rPr>
          <w:rFonts w:eastAsia="微软雅黑"/>
          <w:szCs w:val="21"/>
        </w:rPr>
        <w:t>近5年完成专利12项，其中美国专利2项，并已授权。</w:t>
      </w:r>
    </w:p>
    <w:p w14:paraId="61379AE2">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公开发行专著：</w:t>
      </w:r>
    </w:p>
    <w:p w14:paraId="181C7427">
      <w:pPr>
        <w:numPr>
          <w:ilvl w:val="0"/>
          <w:numId w:val="2"/>
        </w:numPr>
        <w:autoSpaceDN w:val="0"/>
        <w:spacing w:line="480" w:lineRule="exact"/>
        <w:rPr>
          <w:rFonts w:eastAsia="微软雅黑"/>
          <w:szCs w:val="21"/>
        </w:rPr>
      </w:pPr>
      <w:r>
        <w:rPr>
          <w:rFonts w:hint="eastAsia" w:eastAsia="微软雅黑"/>
          <w:b/>
          <w:bCs/>
          <w:szCs w:val="21"/>
        </w:rPr>
        <w:t>《实验设计(DOE)应用指南》、《精益六西格玛案例汇编》</w:t>
      </w:r>
    </w:p>
    <w:p w14:paraId="488009F0">
      <w:pPr>
        <w:autoSpaceDN w:val="0"/>
        <w:spacing w:line="480" w:lineRule="exact"/>
        <w:rPr>
          <w:rFonts w:eastAsia="微软雅黑"/>
          <w:b/>
          <w:bCs/>
          <w:szCs w:val="21"/>
        </w:rPr>
      </w:pPr>
      <w:r>
        <w:rPr>
          <w:rFonts w:eastAsia="微软雅黑"/>
          <w:b/>
          <w:bCs/>
          <w:szCs w:val="21"/>
        </w:rPr>
        <w:drawing>
          <wp:anchor distT="0" distB="0" distL="114300" distR="114300" simplePos="0" relativeHeight="251663360" behindDoc="1" locked="0" layoutInCell="1" allowOverlap="1">
            <wp:simplePos x="0" y="0"/>
            <wp:positionH relativeFrom="column">
              <wp:posOffset>3396615</wp:posOffset>
            </wp:positionH>
            <wp:positionV relativeFrom="page">
              <wp:posOffset>6177280</wp:posOffset>
            </wp:positionV>
            <wp:extent cx="2793365" cy="1936750"/>
            <wp:effectExtent l="0" t="0" r="6985" b="6350"/>
            <wp:wrapTight wrapText="bothSides">
              <wp:wrapPolygon>
                <wp:start x="0" y="0"/>
                <wp:lineTo x="0" y="21458"/>
                <wp:lineTo x="21507" y="21458"/>
                <wp:lineTo x="21507" y="0"/>
                <wp:lineTo x="0" y="0"/>
              </wp:wrapPolygon>
            </wp:wrapTight>
            <wp:docPr id="41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793600" cy="1936800"/>
                    </a:xfrm>
                    <a:prstGeom prst="rect">
                      <a:avLst/>
                    </a:prstGeom>
                    <a:noFill/>
                    <a:ln>
                      <a:noFill/>
                    </a:ln>
                    <a:effectLst/>
                  </pic:spPr>
                </pic:pic>
              </a:graphicData>
            </a:graphic>
          </wp:anchor>
        </w:drawing>
      </w:r>
      <w:r>
        <w:rPr>
          <w:rFonts w:eastAsia="微软雅黑"/>
          <w:b/>
          <w:bCs/>
          <w:szCs w:val="21"/>
        </w:rPr>
        <w:drawing>
          <wp:anchor distT="0" distB="0" distL="114300" distR="114300" simplePos="0" relativeHeight="251662336" behindDoc="1" locked="0" layoutInCell="1" allowOverlap="1">
            <wp:simplePos x="0" y="0"/>
            <wp:positionH relativeFrom="column">
              <wp:posOffset>334645</wp:posOffset>
            </wp:positionH>
            <wp:positionV relativeFrom="page">
              <wp:posOffset>6177280</wp:posOffset>
            </wp:positionV>
            <wp:extent cx="2753995" cy="1972945"/>
            <wp:effectExtent l="0" t="0" r="8255" b="8890"/>
            <wp:wrapTight wrapText="bothSides">
              <wp:wrapPolygon>
                <wp:start x="0" y="0"/>
                <wp:lineTo x="0" y="21489"/>
                <wp:lineTo x="21515" y="21489"/>
                <wp:lineTo x="21515" y="0"/>
                <wp:lineTo x="0" y="0"/>
              </wp:wrapPolygon>
            </wp:wrapTight>
            <wp:docPr id="41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5"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54000" cy="1972800"/>
                    </a:xfrm>
                    <a:prstGeom prst="rect">
                      <a:avLst/>
                    </a:prstGeom>
                    <a:noFill/>
                    <a:ln>
                      <a:noFill/>
                    </a:ln>
                    <a:effectLst/>
                  </pic:spPr>
                </pic:pic>
              </a:graphicData>
            </a:graphic>
          </wp:anchor>
        </w:drawing>
      </w:r>
    </w:p>
    <w:p w14:paraId="05280D35">
      <w:pPr>
        <w:autoSpaceDN w:val="0"/>
        <w:spacing w:line="480" w:lineRule="exact"/>
        <w:rPr>
          <w:rFonts w:eastAsia="微软雅黑"/>
          <w:b/>
          <w:bCs/>
          <w:szCs w:val="21"/>
        </w:rPr>
      </w:pPr>
    </w:p>
    <w:p w14:paraId="6BE78E57">
      <w:pPr>
        <w:autoSpaceDN w:val="0"/>
        <w:spacing w:line="480" w:lineRule="exact"/>
        <w:rPr>
          <w:rFonts w:eastAsia="微软雅黑"/>
          <w:b/>
          <w:bCs/>
          <w:szCs w:val="21"/>
        </w:rPr>
      </w:pPr>
    </w:p>
    <w:p w14:paraId="03811B0D">
      <w:pPr>
        <w:autoSpaceDN w:val="0"/>
        <w:spacing w:line="480" w:lineRule="exact"/>
        <w:rPr>
          <w:rFonts w:eastAsia="微软雅黑"/>
          <w:b/>
          <w:bCs/>
          <w:szCs w:val="21"/>
        </w:rPr>
      </w:pPr>
    </w:p>
    <w:p w14:paraId="7B879442">
      <w:pPr>
        <w:autoSpaceDN w:val="0"/>
        <w:spacing w:line="480" w:lineRule="exact"/>
        <w:rPr>
          <w:rFonts w:eastAsia="微软雅黑"/>
          <w:b/>
          <w:bCs/>
          <w:szCs w:val="21"/>
        </w:rPr>
      </w:pPr>
    </w:p>
    <w:p w14:paraId="6801F58F">
      <w:pPr>
        <w:autoSpaceDN w:val="0"/>
        <w:spacing w:line="480" w:lineRule="exact"/>
        <w:rPr>
          <w:rFonts w:eastAsia="微软雅黑"/>
          <w:b/>
          <w:bCs/>
          <w:szCs w:val="21"/>
        </w:rPr>
      </w:pPr>
    </w:p>
    <w:p w14:paraId="166A0E24">
      <w:pPr>
        <w:autoSpaceDN w:val="0"/>
        <w:spacing w:line="480" w:lineRule="exact"/>
        <w:rPr>
          <w:rFonts w:eastAsia="微软雅黑"/>
          <w:szCs w:val="21"/>
        </w:rPr>
      </w:pPr>
    </w:p>
    <w:p w14:paraId="005CDCC3">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内部</w:t>
      </w:r>
      <w:r>
        <w:rPr>
          <w:rFonts w:hint="eastAsia" w:eastAsia="微软雅黑"/>
          <w:b/>
          <w:color w:val="C00000"/>
          <w:sz w:val="24"/>
          <w:szCs w:val="24"/>
          <w14:shadow w14:blurRad="50800" w14:dist="38100" w14:dir="2700000" w14:sx="100000" w14:sy="100000" w14:kx="0" w14:ky="0" w14:algn="tl">
            <w14:srgbClr w14:val="000000">
              <w14:alpha w14:val="60000"/>
            </w14:srgbClr>
          </w14:shadow>
        </w:rPr>
        <w:t>交流</w:t>
      </w:r>
      <w:r>
        <w:rPr>
          <w:rFonts w:eastAsia="微软雅黑"/>
          <w:b/>
          <w:color w:val="C00000"/>
          <w:sz w:val="24"/>
          <w:szCs w:val="24"/>
          <w14:shadow w14:blurRad="50800" w14:dist="38100" w14:dir="2700000" w14:sx="100000" w14:sy="100000" w14:kx="0" w14:ky="0" w14:algn="tl">
            <w14:srgbClr w14:val="000000">
              <w14:alpha w14:val="60000"/>
            </w14:srgbClr>
          </w14:shadow>
        </w:rPr>
        <w:t>专著：</w:t>
      </w:r>
    </w:p>
    <w:p w14:paraId="53804E15">
      <w:pPr>
        <w:numPr>
          <w:ilvl w:val="0"/>
          <w:numId w:val="2"/>
        </w:numPr>
        <w:autoSpaceDN w:val="0"/>
        <w:spacing w:line="480" w:lineRule="exact"/>
        <w:rPr>
          <w:rFonts w:eastAsia="微软雅黑"/>
          <w:szCs w:val="21"/>
        </w:rPr>
      </w:pPr>
      <w:r>
        <w:rPr>
          <w:rFonts w:eastAsia="微软雅黑"/>
          <w:b/>
          <w:bCs/>
          <w:szCs w:val="21"/>
        </w:rPr>
        <w:t>《配方及混料设计》</w:t>
      </w:r>
      <w:r>
        <w:rPr>
          <w:rFonts w:eastAsia="微软雅黑"/>
          <w:szCs w:val="21"/>
        </w:rPr>
        <w:t>、</w:t>
      </w:r>
      <w:r>
        <w:rPr>
          <w:rFonts w:eastAsia="微软雅黑"/>
          <w:b/>
          <w:bCs/>
          <w:szCs w:val="21"/>
        </w:rPr>
        <w:t>《稳健设计》、《精彩DOE案例锦集》</w:t>
      </w:r>
      <w:r>
        <w:rPr>
          <w:rFonts w:eastAsia="微软雅黑"/>
          <w:szCs w:val="21"/>
        </w:rPr>
        <w:t>等。</w:t>
      </w:r>
    </w:p>
    <w:sectPr>
      <w:headerReference r:id="rId3" w:type="default"/>
      <w:footerReference r:id="rId4" w:type="default"/>
      <w:pgSz w:w="11906" w:h="16838"/>
      <w:pgMar w:top="1440" w:right="1080" w:bottom="1538"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45E49">
    <w:pPr>
      <w:pStyle w:val="11"/>
    </w:pPr>
    <w:r>
      <mc:AlternateContent>
        <mc:Choice Requires="wps">
          <w:drawing>
            <wp:anchor distT="0" distB="0" distL="114300" distR="114300" simplePos="0" relativeHeight="251661312" behindDoc="1" locked="0" layoutInCell="1" allowOverlap="1">
              <wp:simplePos x="0" y="0"/>
              <wp:positionH relativeFrom="column">
                <wp:posOffset>-1021080</wp:posOffset>
              </wp:positionH>
              <wp:positionV relativeFrom="paragraph">
                <wp:posOffset>1905</wp:posOffset>
              </wp:positionV>
              <wp:extent cx="7892415" cy="584835"/>
              <wp:effectExtent l="0" t="0" r="635" b="1905"/>
              <wp:wrapTight wrapText="bothSides">
                <wp:wrapPolygon>
                  <wp:start x="0" y="0"/>
                  <wp:lineTo x="0" y="21154"/>
                  <wp:lineTo x="21411" y="21154"/>
                  <wp:lineTo x="21411" y="0"/>
                  <wp:lineTo x="0" y="0"/>
                </wp:wrapPolygon>
              </wp:wrapTight>
              <wp:docPr id="1" name="矩形 40"/>
              <wp:cNvGraphicFramePr/>
              <a:graphic xmlns:a="http://schemas.openxmlformats.org/drawingml/2006/main">
                <a:graphicData uri="http://schemas.microsoft.com/office/word/2010/wordprocessingShape">
                  <wps:wsp>
                    <wps:cNvSpPr>
                      <a:spLocks noChangeArrowheads="1"/>
                    </wps:cNvSpPr>
                    <wps:spPr bwMode="auto">
                      <a:xfrm>
                        <a:off x="0" y="0"/>
                        <a:ext cx="7892415" cy="584835"/>
                      </a:xfrm>
                      <a:prstGeom prst="rect">
                        <a:avLst/>
                      </a:prstGeom>
                      <a:solidFill>
                        <a:srgbClr val="AF0D1C">
                          <a:alpha val="85001"/>
                        </a:srgbClr>
                      </a:solidFill>
                      <a:ln>
                        <a:noFill/>
                      </a:ln>
                    </wps:spPr>
                    <wps:txbx>
                      <w:txbxContent>
                        <w:p w14:paraId="4099A581"/>
                      </w:txbxContent>
                    </wps:txbx>
                    <wps:bodyPr rot="0" vert="horz" wrap="square" lIns="91440" tIns="45720" rIns="91440" bIns="45720" anchor="t" anchorCtr="0" upright="1">
                      <a:noAutofit/>
                    </wps:bodyPr>
                  </wps:wsp>
                </a:graphicData>
              </a:graphic>
            </wp:anchor>
          </w:drawing>
        </mc:Choice>
        <mc:Fallback>
          <w:pict>
            <v:rect id="矩形 40" o:spid="_x0000_s1026" o:spt="1" style="position:absolute;left:0pt;margin-left:-80.4pt;margin-top:0.15pt;height:46.05pt;width:621.45pt;mso-wrap-distance-left:9pt;mso-wrap-distance-right:9pt;z-index:-251655168;mso-width-relative:page;mso-height-relative:page;" fillcolor="#AF0D1C" filled="t" stroked="f" coordsize="21600,21600" wrapcoords="0 0 0 21154 21411 21154 21411 0 0 0" o:gfxdata="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yzVKNcAAAAJAQAADwAAAAAAAAABACAAAAAiAAAAZHJzL2Rvd25yZXYu&#10;eG1sUEsBAhQAFAAAAAgAh07iQITkskE1AgAAUwQAAA4AAAAAAAAAAQAgAAAAJgEAAGRycy9lMm9E&#10;b2MueG1sUEsFBgAAAAAGAAYAWQEAAM0FAAAAAA==&#10;">
              <v:fill on="t" opacity="55706f" focussize="0,0"/>
              <v:stroke on="f"/>
              <v:imagedata o:title=""/>
              <o:lock v:ext="edit" aspectratio="f"/>
              <v:textbox>
                <w:txbxContent>
                  <w:p w14:paraId="4099A581"/>
                </w:txbxContent>
              </v:textbox>
              <w10:wrap type="tight"/>
            </v:rect>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5850255</wp:posOffset>
              </wp:positionH>
              <wp:positionV relativeFrom="paragraph">
                <wp:posOffset>228600</wp:posOffset>
              </wp:positionV>
              <wp:extent cx="381000" cy="198120"/>
              <wp:effectExtent l="1905" t="0" r="0" b="1905"/>
              <wp:wrapNone/>
              <wp:docPr id="3"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381000" cy="198120"/>
                      </a:xfrm>
                      <a:prstGeom prst="rect">
                        <a:avLst/>
                      </a:prstGeom>
                      <a:noFill/>
                      <a:ln>
                        <a:noFill/>
                      </a:ln>
                    </wps:spPr>
                    <wps:txbx>
                      <w:txbxContent>
                        <w:p w14:paraId="7370D9B2">
                          <w:pPr>
                            <w:rPr>
                              <w:b/>
                              <w:color w:val="FFFFFF"/>
                              <w:szCs w:val="21"/>
                            </w:rPr>
                          </w:pPr>
                          <w:r>
                            <w:rPr>
                              <w:b/>
                              <w:color w:val="FFFFFF"/>
                              <w:szCs w:val="21"/>
                              <w:lang w:val="zh-CN"/>
                            </w:rPr>
                            <w:t xml:space="preserve"> </w:t>
                          </w:r>
                          <w:r>
                            <w:rPr>
                              <w:b/>
                              <w:color w:val="FFFFFF"/>
                              <w:szCs w:val="21"/>
                            </w:rPr>
                            <w:fldChar w:fldCharType="begin"/>
                          </w:r>
                          <w:r>
                            <w:rPr>
                              <w:b/>
                              <w:color w:val="FFFFFF"/>
                              <w:szCs w:val="21"/>
                            </w:rPr>
                            <w:instrText xml:space="preserve"> PAGE </w:instrText>
                          </w:r>
                          <w:r>
                            <w:rPr>
                              <w:b/>
                              <w:color w:val="FFFFFF"/>
                              <w:szCs w:val="21"/>
                            </w:rPr>
                            <w:fldChar w:fldCharType="separate"/>
                          </w:r>
                          <w:r>
                            <w:rPr>
                              <w:b/>
                              <w:color w:val="FFFFFF"/>
                              <w:szCs w:val="21"/>
                            </w:rPr>
                            <w:t>1</w:t>
                          </w:r>
                          <w:r>
                            <w:rPr>
                              <w:b/>
                              <w:color w:val="FFFFFF"/>
                              <w:szCs w:val="21"/>
                            </w:rPr>
                            <w:fldChar w:fldCharType="end"/>
                          </w:r>
                          <w:r>
                            <w:rPr>
                              <w:b/>
                              <w:color w:val="FFFFFF"/>
                              <w:szCs w:val="21"/>
                              <w:lang w:val="zh-CN"/>
                            </w:rPr>
                            <w:t xml:space="preserve"> / </w:t>
                          </w:r>
                          <w:r>
                            <w:rPr>
                              <w:b/>
                              <w:color w:val="FFFFFF"/>
                              <w:szCs w:val="21"/>
                            </w:rPr>
                            <w:fldChar w:fldCharType="begin"/>
                          </w:r>
                          <w:r>
                            <w:rPr>
                              <w:b/>
                              <w:color w:val="FFFFFF"/>
                              <w:szCs w:val="21"/>
                            </w:rPr>
                            <w:instrText xml:space="preserve"> NUMPAGES  </w:instrText>
                          </w:r>
                          <w:r>
                            <w:rPr>
                              <w:b/>
                              <w:color w:val="FFFFFF"/>
                              <w:szCs w:val="21"/>
                            </w:rPr>
                            <w:fldChar w:fldCharType="separate"/>
                          </w:r>
                          <w:r>
                            <w:rPr>
                              <w:b/>
                              <w:color w:val="FFFFFF"/>
                              <w:szCs w:val="21"/>
                            </w:rPr>
                            <w:t>5</w:t>
                          </w:r>
                          <w:r>
                            <w:rPr>
                              <w:b/>
                              <w:color w:val="FFFFFF"/>
                              <w:szCs w:val="21"/>
                            </w:rPr>
                            <w:fldChar w:fldCharType="end"/>
                          </w:r>
                        </w:p>
                      </w:txbxContent>
                    </wps:txbx>
                    <wps:bodyPr rot="0" vert="horz" wrap="square" lIns="0" tIns="0" rIns="0" bIns="0" anchor="t" anchorCtr="0" upright="1">
                      <a:noAutofit/>
                    </wps:bodyPr>
                  </wps:wsp>
                </a:graphicData>
              </a:graphic>
            </wp:anchor>
          </w:drawing>
        </mc:Choice>
        <mc:Fallback>
          <w:pict>
            <v:shape id="文本框 25" o:spid="_x0000_s1026" o:spt="202" type="#_x0000_t202" style="position:absolute;left:0pt;margin-left:460.65pt;margin-top:18pt;height:15.6pt;width:30pt;mso-position-horizontal-relative:margin;z-index:251659264;mso-width-relative:page;mso-height-relative:page;" filled="f" stroked="f" coordsize="21600,21600" o:gfxdata="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I5VZNgAAAAJAQAADwAAAAAAAAABACAA&#10;AAAiAAAAZHJzL2Rvd25yZXYueG1sUEsBAhQAFAAAAAgAh07iQPw7SbQNAgAABQQAAA4AAAAAAAAA&#10;AQAgAAAAJwEAAGRycy9lMm9Eb2MueG1sUEsFBgAAAAAGAAYAWQEAAKYFAAAAAA==&#10;">
              <v:fill on="f" focussize="0,0"/>
              <v:stroke on="f"/>
              <v:imagedata o:title=""/>
              <o:lock v:ext="edit" aspectratio="f"/>
              <v:textbox inset="0mm,0mm,0mm,0mm">
                <w:txbxContent>
                  <w:p w14:paraId="7370D9B2">
                    <w:pPr>
                      <w:rPr>
                        <w:b/>
                        <w:color w:val="FFFFFF"/>
                        <w:szCs w:val="21"/>
                      </w:rPr>
                    </w:pPr>
                    <w:r>
                      <w:rPr>
                        <w:b/>
                        <w:color w:val="FFFFFF"/>
                        <w:szCs w:val="21"/>
                        <w:lang w:val="zh-CN"/>
                      </w:rPr>
                      <w:t xml:space="preserve"> </w:t>
                    </w:r>
                    <w:r>
                      <w:rPr>
                        <w:b/>
                        <w:color w:val="FFFFFF"/>
                        <w:szCs w:val="21"/>
                      </w:rPr>
                      <w:fldChar w:fldCharType="begin"/>
                    </w:r>
                    <w:r>
                      <w:rPr>
                        <w:b/>
                        <w:color w:val="FFFFFF"/>
                        <w:szCs w:val="21"/>
                      </w:rPr>
                      <w:instrText xml:space="preserve"> PAGE </w:instrText>
                    </w:r>
                    <w:r>
                      <w:rPr>
                        <w:b/>
                        <w:color w:val="FFFFFF"/>
                        <w:szCs w:val="21"/>
                      </w:rPr>
                      <w:fldChar w:fldCharType="separate"/>
                    </w:r>
                    <w:r>
                      <w:rPr>
                        <w:b/>
                        <w:color w:val="FFFFFF"/>
                        <w:szCs w:val="21"/>
                      </w:rPr>
                      <w:t>1</w:t>
                    </w:r>
                    <w:r>
                      <w:rPr>
                        <w:b/>
                        <w:color w:val="FFFFFF"/>
                        <w:szCs w:val="21"/>
                      </w:rPr>
                      <w:fldChar w:fldCharType="end"/>
                    </w:r>
                    <w:r>
                      <w:rPr>
                        <w:b/>
                        <w:color w:val="FFFFFF"/>
                        <w:szCs w:val="21"/>
                        <w:lang w:val="zh-CN"/>
                      </w:rPr>
                      <w:t xml:space="preserve"> / </w:t>
                    </w:r>
                    <w:r>
                      <w:rPr>
                        <w:b/>
                        <w:color w:val="FFFFFF"/>
                        <w:szCs w:val="21"/>
                      </w:rPr>
                      <w:fldChar w:fldCharType="begin"/>
                    </w:r>
                    <w:r>
                      <w:rPr>
                        <w:b/>
                        <w:color w:val="FFFFFF"/>
                        <w:szCs w:val="21"/>
                      </w:rPr>
                      <w:instrText xml:space="preserve"> NUMPAGES  </w:instrText>
                    </w:r>
                    <w:r>
                      <w:rPr>
                        <w:b/>
                        <w:color w:val="FFFFFF"/>
                        <w:szCs w:val="21"/>
                      </w:rPr>
                      <w:fldChar w:fldCharType="separate"/>
                    </w:r>
                    <w:r>
                      <w:rPr>
                        <w:b/>
                        <w:color w:val="FFFFFF"/>
                        <w:szCs w:val="21"/>
                      </w:rPr>
                      <w:t>5</w:t>
                    </w:r>
                    <w:r>
                      <w:rPr>
                        <w:b/>
                        <w:color w:val="FFFFFF"/>
                        <w:szCs w:val="21"/>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254F0">
    <w:pPr>
      <w:pStyle w:val="12"/>
      <w:pBdr>
        <w:bottom w:val="none" w:color="auto" w:sz="0" w:space="1"/>
      </w:pBdr>
      <w:jc w:val="both"/>
    </w:pPr>
    <w:r>
      <w:rPr>
        <w:rFonts w:hint="eastAsia" w:hAnsi="微软雅黑" w:eastAsia="微软雅黑"/>
        <w:szCs w:val="24"/>
      </w:rPr>
      <mc:AlternateContent>
        <mc:Choice Requires="wps">
          <w:drawing>
            <wp:anchor distT="0" distB="0" distL="114300" distR="114300" simplePos="0" relativeHeight="251663360" behindDoc="0" locked="0" layoutInCell="1" allowOverlap="1">
              <wp:simplePos x="0" y="0"/>
              <wp:positionH relativeFrom="column">
                <wp:posOffset>5121910</wp:posOffset>
              </wp:positionH>
              <wp:positionV relativeFrom="paragraph">
                <wp:posOffset>345440</wp:posOffset>
              </wp:positionV>
              <wp:extent cx="1166495" cy="434340"/>
              <wp:effectExtent l="0" t="0" r="0" b="3810"/>
              <wp:wrapNone/>
              <wp:docPr id="7"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6495" cy="434340"/>
                      </a:xfrm>
                      <a:prstGeom prst="rect">
                        <a:avLst/>
                      </a:prstGeom>
                      <a:noFill/>
                      <a:ln>
                        <a:noFill/>
                      </a:ln>
                    </wps:spPr>
                    <wps:txbx>
                      <w:txbxContent>
                        <w:p w14:paraId="6A172E46">
                          <w:pPr>
                            <w:spacing w:line="480" w:lineRule="exact"/>
                            <w:jc w:val="right"/>
                          </w:pPr>
                          <w:r>
                            <w:rPr>
                              <w:rFonts w:hint="eastAsia" w:eastAsia="微软雅黑"/>
                              <w:b/>
                              <w:color w:val="FFFFFF"/>
                              <w:sz w:val="24"/>
                              <w:szCs w:val="24"/>
                            </w:rPr>
                            <w:t>公开课课纲</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403.3pt;margin-top:27.2pt;height:34.2pt;width:91.85pt;z-index:251663360;mso-width-relative:page;mso-height-relative:page;" filled="f" stroked="f" coordsize="21600,21600" o:gfxdata="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gQhAdcAAAAKAQAADwAA&#10;AAAAAAABACAAAAAiAAAAZHJzL2Rvd25yZXYueG1sUEsBAhQAFAAAAAgAh07iQPZujJEXAgAAFQQA&#10;AA4AAAAAAAAAAQAgAAAAJgEAAGRycy9lMm9Eb2MueG1sUEsFBgAAAAAGAAYAWQEAAK8FAAAAAA==&#10;">
              <v:fill on="f" focussize="0,0"/>
              <v:stroke on="f"/>
              <v:imagedata o:title=""/>
              <o:lock v:ext="edit" aspectratio="f"/>
              <v:textbox>
                <w:txbxContent>
                  <w:p w14:paraId="6A172E46">
                    <w:pPr>
                      <w:spacing w:line="480" w:lineRule="exact"/>
                      <w:jc w:val="right"/>
                    </w:pPr>
                    <w:r>
                      <w:rPr>
                        <w:rFonts w:hint="eastAsia" w:eastAsia="微软雅黑"/>
                        <w:b/>
                        <w:color w:val="FFFFFF"/>
                        <w:sz w:val="24"/>
                        <w:szCs w:val="24"/>
                      </w:rPr>
                      <w:t>公开课课纲</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436245</wp:posOffset>
              </wp:positionH>
              <wp:positionV relativeFrom="paragraph">
                <wp:posOffset>-186690</wp:posOffset>
              </wp:positionV>
              <wp:extent cx="5188585" cy="659765"/>
              <wp:effectExtent l="0" t="3810" r="4445" b="3175"/>
              <wp:wrapNone/>
              <wp:docPr id="6"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5188585" cy="659765"/>
                      </a:xfrm>
                      <a:prstGeom prst="rect">
                        <a:avLst/>
                      </a:prstGeom>
                      <a:noFill/>
                      <a:ln>
                        <a:noFill/>
                      </a:ln>
                      <a:effectLst/>
                    </wps:spPr>
                    <wps:txbx>
                      <w:txbxContent>
                        <w:p w14:paraId="68740A9D">
                          <w:pPr>
                            <w:spacing w:before="120" w:beforeLines="50" w:after="120" w:afterLines="50"/>
                            <w:jc w:val="center"/>
                            <w:rPr>
                              <w:color w:val="FFFFFF"/>
                            </w:rPr>
                          </w:pPr>
                          <w:r>
                            <w:rPr>
                              <w:rFonts w:hint="eastAsia" w:ascii="微软雅黑" w:hAnsi="微软雅黑" w:eastAsia="微软雅黑" w:cs="微软雅黑"/>
                              <w:b/>
                              <w:color w:val="FFFFFF"/>
                              <w:sz w:val="44"/>
                            </w:rPr>
                            <w:t>★6sigma黑带培训课程</w:t>
                          </w:r>
                        </w:p>
                      </w:txbxContent>
                    </wps:txbx>
                    <wps:bodyPr rot="0" vert="horz" wrap="square" lIns="91440" tIns="45720" rIns="91440" bIns="45720" anchor="t" anchorCtr="0" upright="1">
                      <a:noAutofit/>
                    </wps:bodyPr>
                  </wps:wsp>
                </a:graphicData>
              </a:graphic>
            </wp:anchor>
          </w:drawing>
        </mc:Choice>
        <mc:Fallback>
          <w:pict>
            <v:shape id="文本框 34" o:spid="_x0000_s1026" o:spt="202" type="#_x0000_t202" style="position:absolute;left:0pt;margin-left:34.35pt;margin-top:-14.7pt;height:51.95pt;width:408.55pt;z-index:251661312;mso-width-relative:page;mso-height-relative:page;" filled="f" stroked="f" coordsize="21600,21600" o:gfxdata="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Bi4f/XAAAA&#10;CQEAAA8AAAAAAAAAAQAgAAAAIgAAAGRycy9kb3ducmV2LnhtbFBLAQIUABQAAAAIAIdO4kDqWSCJ&#10;HgIAACQEAAAOAAAAAAAAAAEAIAAAACYBAABkcnMvZTJvRG9jLnhtbFBLBQYAAAAABgAGAFkBAAC2&#10;BQAAAAA=&#10;">
              <v:fill on="f" focussize="0,0"/>
              <v:stroke on="f"/>
              <v:imagedata o:title=""/>
              <o:lock v:ext="edit" aspectratio="f"/>
              <v:textbox>
                <w:txbxContent>
                  <w:p w14:paraId="68740A9D">
                    <w:pPr>
                      <w:spacing w:before="120" w:beforeLines="50" w:after="120" w:afterLines="50"/>
                      <w:jc w:val="center"/>
                      <w:rPr>
                        <w:color w:val="FFFFFF"/>
                      </w:rPr>
                    </w:pPr>
                    <w:r>
                      <w:rPr>
                        <w:rFonts w:hint="eastAsia" w:ascii="微软雅黑" w:hAnsi="微软雅黑" w:eastAsia="微软雅黑" w:cs="微软雅黑"/>
                        <w:b/>
                        <w:color w:val="FFFFFF"/>
                        <w:sz w:val="44"/>
                      </w:rPr>
                      <w:t>★6sigma黑带培训课程</w:t>
                    </w:r>
                  </w:p>
                </w:txbxContent>
              </v:textbox>
            </v:shape>
          </w:pict>
        </mc:Fallback>
      </mc:AlternateContent>
    </w:r>
    <w:r>
      <w:rPr>
        <w:sz w:val="24"/>
      </w:rPr>
      <mc:AlternateContent>
        <mc:Choice Requires="wps">
          <w:drawing>
            <wp:anchor distT="0" distB="0" distL="114300" distR="114300" simplePos="0" relativeHeight="251660288" behindDoc="1" locked="0" layoutInCell="1" allowOverlap="1">
              <wp:simplePos x="0" y="0"/>
              <wp:positionH relativeFrom="column">
                <wp:posOffset>-685800</wp:posOffset>
              </wp:positionH>
              <wp:positionV relativeFrom="paragraph">
                <wp:posOffset>-541020</wp:posOffset>
              </wp:positionV>
              <wp:extent cx="7593330" cy="1394460"/>
              <wp:effectExtent l="0" t="1905" r="7620" b="3810"/>
              <wp:wrapTight wrapText="bothSides">
                <wp:wrapPolygon>
                  <wp:start x="21593" y="0"/>
                  <wp:lineTo x="0" y="0"/>
                  <wp:lineTo x="0" y="21600"/>
                  <wp:lineTo x="21593" y="21600"/>
                  <wp:lineTo x="7" y="21600"/>
                  <wp:lineTo x="21600" y="21600"/>
                  <wp:lineTo x="21600" y="0"/>
                  <wp:lineTo x="7" y="0"/>
                  <wp:lineTo x="21593" y="0"/>
                </wp:wrapPolygon>
              </wp:wrapTight>
              <wp:docPr id="5" name="矩形 32"/>
              <wp:cNvGraphicFramePr/>
              <a:graphic xmlns:a="http://schemas.openxmlformats.org/drawingml/2006/main">
                <a:graphicData uri="http://schemas.microsoft.com/office/word/2010/wordprocessingShape">
                  <wps:wsp>
                    <wps:cNvSpPr>
                      <a:spLocks noChangeArrowheads="1"/>
                    </wps:cNvSpPr>
                    <wps:spPr bwMode="auto">
                      <a:xfrm>
                        <a:off x="0" y="0"/>
                        <a:ext cx="7593330" cy="1394460"/>
                      </a:xfrm>
                      <a:prstGeom prst="rect">
                        <a:avLst/>
                      </a:prstGeom>
                      <a:solidFill>
                        <a:srgbClr val="17365D">
                          <a:alpha val="89999"/>
                        </a:srgbClr>
                      </a:solidFill>
                      <a:ln>
                        <a:noFill/>
                      </a:ln>
                      <a:effectLst/>
                    </wps:spPr>
                    <wps:txbx>
                      <w:txbxContent>
                        <w:p w14:paraId="75153FDD"/>
                      </w:txbxContent>
                    </wps:txbx>
                    <wps:bodyPr rot="0" vert="horz" wrap="square" lIns="91440" tIns="45720" rIns="91440" bIns="45720" anchor="t" anchorCtr="0" upright="1">
                      <a:noAutofit/>
                    </wps:bodyPr>
                  </wps:wsp>
                </a:graphicData>
              </a:graphic>
            </wp:anchor>
          </w:drawing>
        </mc:Choice>
        <mc:Fallback>
          <w:pict>
            <v:rect id="矩形 32" o:spid="_x0000_s1026" o:spt="1" style="position:absolute;left:0pt;margin-left:-54pt;margin-top:-42.6pt;height:109.8pt;width:597.9pt;mso-wrap-distance-left:9pt;mso-wrap-distance-right:9pt;z-index:-251656192;mso-width-relative:page;mso-height-relative:page;" fillcolor="#17365D" filled="t" stroked="f" coordsize="21600,21600" wrapcoords="21593 0 0 0 0 21600 21593 21600 7 21600 21600 21600 21600 0 7 0 21593 0" o:gfxdata="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eN8oG2gAAAA0BAAAPAAAAAAAAAAEAIAAAACIAAABkcnMv&#10;ZG93bnJldi54bWxQSwECFAAUAAAACACHTuJAgjLZezoCAABiBAAADgAAAAAAAAABACAAAAApAQAA&#10;ZHJzL2Uyb0RvYy54bWxQSwUGAAAAAAYABgBZAQAA1QUAAAAA&#10;">
              <v:fill on="t" opacity="58981f" focussize="0,0"/>
              <v:stroke on="f"/>
              <v:imagedata o:title=""/>
              <o:lock v:ext="edit" aspectratio="f"/>
              <v:textbox>
                <w:txbxContent>
                  <w:p w14:paraId="75153FDD"/>
                </w:txbxContent>
              </v:textbox>
              <w10:wrap type="tigh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9029ACF"/>
    <w:multiLevelType w:val="singleLevel"/>
    <w:tmpl w:val="59029ACF"/>
    <w:lvl w:ilvl="0" w:tentative="0">
      <w:start w:val="1"/>
      <w:numFmt w:val="bullet"/>
      <w:lvlText w:val=""/>
      <w:lvlJc w:val="left"/>
      <w:pPr>
        <w:ind w:left="562"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NTIxZTQ0NDMxMWEwNjgzZDRjYWVmN2JlNmE1NTcifQ=="/>
  </w:docVars>
  <w:rsids>
    <w:rsidRoot w:val="00172A27"/>
    <w:rsid w:val="0000341B"/>
    <w:rsid w:val="000045FC"/>
    <w:rsid w:val="0005186E"/>
    <w:rsid w:val="00093C81"/>
    <w:rsid w:val="000975DB"/>
    <w:rsid w:val="000A5A67"/>
    <w:rsid w:val="000D7C2C"/>
    <w:rsid w:val="00124800"/>
    <w:rsid w:val="00160F0B"/>
    <w:rsid w:val="00172A27"/>
    <w:rsid w:val="00185D35"/>
    <w:rsid w:val="001D7A75"/>
    <w:rsid w:val="001F0496"/>
    <w:rsid w:val="001F290A"/>
    <w:rsid w:val="00216A52"/>
    <w:rsid w:val="00261CDF"/>
    <w:rsid w:val="00263ED8"/>
    <w:rsid w:val="00287DC4"/>
    <w:rsid w:val="002A3556"/>
    <w:rsid w:val="002F4A04"/>
    <w:rsid w:val="00322E6B"/>
    <w:rsid w:val="00336015"/>
    <w:rsid w:val="00340F5D"/>
    <w:rsid w:val="003536C6"/>
    <w:rsid w:val="003A25E4"/>
    <w:rsid w:val="003A7F64"/>
    <w:rsid w:val="003B704C"/>
    <w:rsid w:val="003C5A64"/>
    <w:rsid w:val="003D2CA4"/>
    <w:rsid w:val="00407BC8"/>
    <w:rsid w:val="00432EC4"/>
    <w:rsid w:val="00434C3F"/>
    <w:rsid w:val="004809F5"/>
    <w:rsid w:val="004D2282"/>
    <w:rsid w:val="00562617"/>
    <w:rsid w:val="00581986"/>
    <w:rsid w:val="00590E2A"/>
    <w:rsid w:val="00595DC1"/>
    <w:rsid w:val="005A055D"/>
    <w:rsid w:val="005B0872"/>
    <w:rsid w:val="00613749"/>
    <w:rsid w:val="00632968"/>
    <w:rsid w:val="00661C73"/>
    <w:rsid w:val="0067197A"/>
    <w:rsid w:val="00673CE9"/>
    <w:rsid w:val="00694734"/>
    <w:rsid w:val="006A7F22"/>
    <w:rsid w:val="006B3C93"/>
    <w:rsid w:val="006E2A46"/>
    <w:rsid w:val="007070B4"/>
    <w:rsid w:val="007968E2"/>
    <w:rsid w:val="007A66C6"/>
    <w:rsid w:val="007B5D60"/>
    <w:rsid w:val="007C278B"/>
    <w:rsid w:val="008256AA"/>
    <w:rsid w:val="00843CE6"/>
    <w:rsid w:val="0085594E"/>
    <w:rsid w:val="00857E8B"/>
    <w:rsid w:val="00874842"/>
    <w:rsid w:val="00877927"/>
    <w:rsid w:val="008B7827"/>
    <w:rsid w:val="008F28C8"/>
    <w:rsid w:val="008F66C2"/>
    <w:rsid w:val="00914261"/>
    <w:rsid w:val="00922D3B"/>
    <w:rsid w:val="0099177A"/>
    <w:rsid w:val="009A32F7"/>
    <w:rsid w:val="009D1D93"/>
    <w:rsid w:val="009E13AC"/>
    <w:rsid w:val="00A32A72"/>
    <w:rsid w:val="00A3303F"/>
    <w:rsid w:val="00A577C5"/>
    <w:rsid w:val="00A63DFF"/>
    <w:rsid w:val="00A70525"/>
    <w:rsid w:val="00AD2BD8"/>
    <w:rsid w:val="00AD4856"/>
    <w:rsid w:val="00AE0C5B"/>
    <w:rsid w:val="00B0202D"/>
    <w:rsid w:val="00B05875"/>
    <w:rsid w:val="00B14868"/>
    <w:rsid w:val="00B56587"/>
    <w:rsid w:val="00B675DA"/>
    <w:rsid w:val="00B80549"/>
    <w:rsid w:val="00B926D7"/>
    <w:rsid w:val="00BB38C5"/>
    <w:rsid w:val="00BF3FF3"/>
    <w:rsid w:val="00C036BE"/>
    <w:rsid w:val="00C43888"/>
    <w:rsid w:val="00C61BE0"/>
    <w:rsid w:val="00C854FC"/>
    <w:rsid w:val="00CA47BA"/>
    <w:rsid w:val="00CF40C1"/>
    <w:rsid w:val="00CF41C1"/>
    <w:rsid w:val="00D04741"/>
    <w:rsid w:val="00D22DAC"/>
    <w:rsid w:val="00D62949"/>
    <w:rsid w:val="00DA0B52"/>
    <w:rsid w:val="00DA70BC"/>
    <w:rsid w:val="00DB3EDE"/>
    <w:rsid w:val="00DC2C11"/>
    <w:rsid w:val="00DD6868"/>
    <w:rsid w:val="00DE5D01"/>
    <w:rsid w:val="00E20D1E"/>
    <w:rsid w:val="00E92F56"/>
    <w:rsid w:val="00E97F3E"/>
    <w:rsid w:val="00EE42DF"/>
    <w:rsid w:val="00EE6C40"/>
    <w:rsid w:val="00F05B6D"/>
    <w:rsid w:val="00F11F3F"/>
    <w:rsid w:val="00F236BE"/>
    <w:rsid w:val="00F95D21"/>
    <w:rsid w:val="00FA5C70"/>
    <w:rsid w:val="00FD4819"/>
    <w:rsid w:val="00FE7DC1"/>
    <w:rsid w:val="00FF6DF1"/>
    <w:rsid w:val="017621F9"/>
    <w:rsid w:val="07D70922"/>
    <w:rsid w:val="09381459"/>
    <w:rsid w:val="0958526D"/>
    <w:rsid w:val="09BD6B8A"/>
    <w:rsid w:val="09F23CE8"/>
    <w:rsid w:val="0AFA120A"/>
    <w:rsid w:val="0C3537FB"/>
    <w:rsid w:val="0C7F1C11"/>
    <w:rsid w:val="0F2E22AB"/>
    <w:rsid w:val="107F18A9"/>
    <w:rsid w:val="10F20DDB"/>
    <w:rsid w:val="12183A8E"/>
    <w:rsid w:val="13076927"/>
    <w:rsid w:val="13EB653A"/>
    <w:rsid w:val="14F67573"/>
    <w:rsid w:val="17C77B0F"/>
    <w:rsid w:val="19574DA2"/>
    <w:rsid w:val="1B7D79D2"/>
    <w:rsid w:val="1BE31B4D"/>
    <w:rsid w:val="1D533889"/>
    <w:rsid w:val="1D5522D4"/>
    <w:rsid w:val="1E8F4FAF"/>
    <w:rsid w:val="1EB00B68"/>
    <w:rsid w:val="1F8C08F2"/>
    <w:rsid w:val="20336799"/>
    <w:rsid w:val="21D04826"/>
    <w:rsid w:val="23040234"/>
    <w:rsid w:val="23AB191E"/>
    <w:rsid w:val="24B30F5E"/>
    <w:rsid w:val="24C34C80"/>
    <w:rsid w:val="25D10AE5"/>
    <w:rsid w:val="25E40DB9"/>
    <w:rsid w:val="26FA7220"/>
    <w:rsid w:val="275C1C24"/>
    <w:rsid w:val="286B0F53"/>
    <w:rsid w:val="29110139"/>
    <w:rsid w:val="297561D3"/>
    <w:rsid w:val="2B32788A"/>
    <w:rsid w:val="2B683643"/>
    <w:rsid w:val="2BFE25AD"/>
    <w:rsid w:val="2C484B1E"/>
    <w:rsid w:val="2CE0731C"/>
    <w:rsid w:val="2D021266"/>
    <w:rsid w:val="2D1C2F78"/>
    <w:rsid w:val="2DDD43CD"/>
    <w:rsid w:val="2DF53AC9"/>
    <w:rsid w:val="2E4A06F4"/>
    <w:rsid w:val="32E35FC5"/>
    <w:rsid w:val="331F61ED"/>
    <w:rsid w:val="352765C3"/>
    <w:rsid w:val="35BE11FB"/>
    <w:rsid w:val="36331012"/>
    <w:rsid w:val="390A2655"/>
    <w:rsid w:val="3CAF11F3"/>
    <w:rsid w:val="3D2953BB"/>
    <w:rsid w:val="3DA4799F"/>
    <w:rsid w:val="3EB31986"/>
    <w:rsid w:val="3F4F523F"/>
    <w:rsid w:val="4077339B"/>
    <w:rsid w:val="426D4684"/>
    <w:rsid w:val="44BC5F98"/>
    <w:rsid w:val="459B1F40"/>
    <w:rsid w:val="45A93C82"/>
    <w:rsid w:val="46295027"/>
    <w:rsid w:val="469D17EC"/>
    <w:rsid w:val="46BF20A2"/>
    <w:rsid w:val="47606B0B"/>
    <w:rsid w:val="47FC3417"/>
    <w:rsid w:val="49612AC8"/>
    <w:rsid w:val="49D2272B"/>
    <w:rsid w:val="4ABC313C"/>
    <w:rsid w:val="4AF30483"/>
    <w:rsid w:val="4CBB2F60"/>
    <w:rsid w:val="4FDC618E"/>
    <w:rsid w:val="559646C4"/>
    <w:rsid w:val="56245862"/>
    <w:rsid w:val="564B6B40"/>
    <w:rsid w:val="56DC5010"/>
    <w:rsid w:val="573B510F"/>
    <w:rsid w:val="575C65BB"/>
    <w:rsid w:val="57A63BE7"/>
    <w:rsid w:val="58556DFB"/>
    <w:rsid w:val="58A1423A"/>
    <w:rsid w:val="605B3923"/>
    <w:rsid w:val="60832368"/>
    <w:rsid w:val="61154893"/>
    <w:rsid w:val="618371CB"/>
    <w:rsid w:val="61B21CE6"/>
    <w:rsid w:val="62F05CEE"/>
    <w:rsid w:val="634459FB"/>
    <w:rsid w:val="66A27570"/>
    <w:rsid w:val="66B35C38"/>
    <w:rsid w:val="68211269"/>
    <w:rsid w:val="685B471E"/>
    <w:rsid w:val="68926F62"/>
    <w:rsid w:val="6896041E"/>
    <w:rsid w:val="695E7BE1"/>
    <w:rsid w:val="6A2A6341"/>
    <w:rsid w:val="6A5C6141"/>
    <w:rsid w:val="6BA00665"/>
    <w:rsid w:val="6C666467"/>
    <w:rsid w:val="6D694AFE"/>
    <w:rsid w:val="6D7A78B9"/>
    <w:rsid w:val="6FA4093E"/>
    <w:rsid w:val="711605ED"/>
    <w:rsid w:val="713472B0"/>
    <w:rsid w:val="71B4365D"/>
    <w:rsid w:val="723536EF"/>
    <w:rsid w:val="745436E9"/>
    <w:rsid w:val="75D60C7F"/>
    <w:rsid w:val="769E4528"/>
    <w:rsid w:val="781A4D19"/>
    <w:rsid w:val="7A4E1A59"/>
    <w:rsid w:val="7ACE03F8"/>
    <w:rsid w:val="7B9F58E0"/>
    <w:rsid w:val="7CCF01D0"/>
    <w:rsid w:val="7DDC3A2D"/>
    <w:rsid w:val="7E212EDA"/>
    <w:rsid w:val="7E6C6CF7"/>
    <w:rsid w:val="7F6015C4"/>
    <w:rsid w:val="7F6D75EE"/>
    <w:rsid w:val="7F9248A7"/>
    <w:rsid w:val="7F980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C00000" fill="t" stroke="t">
      <v:fill on="t" focussize="0,0"/>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ind w:left="220" w:firstLine="660"/>
      <w:jc w:val="center"/>
      <w:outlineLvl w:val="0"/>
    </w:pPr>
    <w:rPr>
      <w:b/>
      <w:sz w:val="32"/>
    </w:rPr>
  </w:style>
  <w:style w:type="paragraph" w:styleId="3">
    <w:name w:val="heading 2"/>
    <w:basedOn w:val="1"/>
    <w:next w:val="1"/>
    <w:qFormat/>
    <w:uiPriority w:val="0"/>
    <w:pPr>
      <w:keepNext/>
      <w:spacing w:line="480" w:lineRule="exact"/>
      <w:ind w:left="360"/>
      <w:outlineLvl w:val="1"/>
    </w:pPr>
    <w:rPr>
      <w:sz w:val="30"/>
    </w:rPr>
  </w:style>
  <w:style w:type="paragraph" w:styleId="4">
    <w:name w:val="heading 3"/>
    <w:basedOn w:val="1"/>
    <w:next w:val="1"/>
    <w:qFormat/>
    <w:uiPriority w:val="0"/>
    <w:pPr>
      <w:keepNext/>
      <w:ind w:left="-358" w:leftChars="-171" w:hanging="1"/>
      <w:outlineLvl w:val="2"/>
    </w:pPr>
    <w:rPr>
      <w:b/>
      <w:i/>
      <w:sz w:val="30"/>
      <w:u w:val="thick"/>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Body Text"/>
    <w:basedOn w:val="1"/>
    <w:uiPriority w:val="0"/>
    <w:rPr>
      <w:sz w:val="28"/>
    </w:rPr>
  </w:style>
  <w:style w:type="paragraph" w:styleId="7">
    <w:name w:val="Body Text Indent"/>
    <w:basedOn w:val="1"/>
    <w:uiPriority w:val="0"/>
    <w:pPr>
      <w:spacing w:before="156" w:beforeLines="50" w:line="440" w:lineRule="exact"/>
      <w:ind w:firstLine="480" w:firstLineChars="200"/>
    </w:pPr>
    <w:rPr>
      <w:sz w:val="24"/>
    </w:rPr>
  </w:style>
  <w:style w:type="paragraph" w:styleId="8">
    <w:name w:val="Block Text"/>
    <w:basedOn w:val="1"/>
    <w:uiPriority w:val="0"/>
    <w:pPr>
      <w:spacing w:line="720" w:lineRule="exact"/>
      <w:ind w:left="-359" w:leftChars="-171" w:right="-244" w:rightChars="-244" w:firstLine="560" w:firstLineChars="200"/>
      <w:jc w:val="left"/>
    </w:pPr>
    <w:rPr>
      <w:rFonts w:ascii="宋体" w:hAnsi="宋体"/>
      <w:sz w:val="28"/>
    </w:rPr>
  </w:style>
  <w:style w:type="paragraph" w:styleId="9">
    <w:name w:val="Date"/>
    <w:basedOn w:val="1"/>
    <w:next w:val="1"/>
    <w:uiPriority w:val="0"/>
    <w:rPr>
      <w:rFonts w:ascii="宋体"/>
      <w:sz w:val="28"/>
    </w:rPr>
  </w:style>
  <w:style w:type="paragraph" w:styleId="10">
    <w:name w:val="Body Text Indent 2"/>
    <w:basedOn w:val="1"/>
    <w:uiPriority w:val="0"/>
    <w:pPr>
      <w:spacing w:before="100" w:after="100" w:line="440" w:lineRule="exact"/>
      <w:ind w:firstLine="480" w:firstLineChars="200"/>
    </w:pPr>
    <w:rPr>
      <w:sz w:val="24"/>
    </w:rPr>
  </w:style>
  <w:style w:type="paragraph" w:styleId="11">
    <w:name w:val="footer"/>
    <w:basedOn w:val="1"/>
    <w:link w:val="24"/>
    <w:uiPriority w:val="99"/>
    <w:pPr>
      <w:tabs>
        <w:tab w:val="center" w:pos="4153"/>
        <w:tab w:val="right" w:pos="8306"/>
      </w:tabs>
      <w:snapToGrid w:val="0"/>
      <w:jc w:val="left"/>
    </w:pPr>
    <w:rPr>
      <w:sz w:val="18"/>
    </w:rPr>
  </w:style>
  <w:style w:type="paragraph" w:styleId="12">
    <w:name w:val="header"/>
    <w:basedOn w:val="1"/>
    <w:uiPriority w:val="0"/>
    <w:pPr>
      <w:pBdr>
        <w:bottom w:val="single" w:color="auto" w:sz="6" w:space="1"/>
      </w:pBdr>
      <w:tabs>
        <w:tab w:val="center" w:pos="4153"/>
        <w:tab w:val="right" w:pos="8306"/>
      </w:tabs>
      <w:snapToGrid w:val="0"/>
      <w:jc w:val="center"/>
    </w:pPr>
    <w:rPr>
      <w:sz w:val="18"/>
    </w:rPr>
  </w:style>
  <w:style w:type="paragraph" w:styleId="13">
    <w:name w:val="Body Text Indent 3"/>
    <w:basedOn w:val="1"/>
    <w:qFormat/>
    <w:uiPriority w:val="0"/>
    <w:pPr>
      <w:spacing w:line="500" w:lineRule="exact"/>
      <w:ind w:firstLine="482" w:firstLineChars="200"/>
    </w:pPr>
    <w:rPr>
      <w:b/>
      <w:sz w:val="24"/>
    </w:rPr>
  </w:style>
  <w:style w:type="paragraph" w:styleId="14">
    <w:name w:val="Body Text 2"/>
    <w:basedOn w:val="1"/>
    <w:qFormat/>
    <w:uiPriority w:val="0"/>
    <w:rPr>
      <w:rFonts w:ascii="黑体" w:eastAsia="黑体"/>
      <w:b/>
      <w:sz w:val="2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6">
    <w:name w:val="Normal (Web)"/>
    <w:basedOn w:val="1"/>
    <w:uiPriority w:val="0"/>
    <w:pPr>
      <w:widowControl/>
      <w:spacing w:before="100" w:beforeAutospacing="1" w:after="100" w:afterAutospacing="1"/>
      <w:jc w:val="left"/>
    </w:pPr>
    <w:rPr>
      <w:rFonts w:ascii="Arial Unicode MS" w:hAnsi="Arial Unicode MS" w:eastAsia="Arial Unicode MS"/>
      <w:kern w:val="0"/>
      <w:sz w:val="24"/>
      <w:lang w:eastAsia="en-US"/>
    </w:rPr>
  </w:style>
  <w:style w:type="character" w:styleId="19">
    <w:name w:val="Strong"/>
    <w:qFormat/>
    <w:uiPriority w:val="0"/>
    <w:rPr>
      <w:b/>
    </w:rPr>
  </w:style>
  <w:style w:type="character" w:styleId="20">
    <w:name w:val="page number"/>
    <w:qFormat/>
    <w:uiPriority w:val="0"/>
  </w:style>
  <w:style w:type="character" w:styleId="21">
    <w:name w:val="FollowedHyperlink"/>
    <w:uiPriority w:val="0"/>
    <w:rPr>
      <w:color w:val="800080"/>
      <w:u w:val="single"/>
    </w:rPr>
  </w:style>
  <w:style w:type="character" w:styleId="22">
    <w:name w:val="Hyperlink"/>
    <w:uiPriority w:val="0"/>
    <w:rPr>
      <w:color w:val="0000FF"/>
      <w:u w:val="single"/>
    </w:rPr>
  </w:style>
  <w:style w:type="character" w:styleId="23">
    <w:name w:val="annotation reference"/>
    <w:uiPriority w:val="0"/>
    <w:rPr>
      <w:sz w:val="21"/>
    </w:rPr>
  </w:style>
  <w:style w:type="character" w:customStyle="1" w:styleId="24">
    <w:name w:val="页脚 Char"/>
    <w:link w:val="11"/>
    <w:uiPriority w:val="99"/>
    <w:rPr>
      <w:kern w:val="2"/>
      <w:sz w:val="18"/>
    </w:rPr>
  </w:style>
  <w:style w:type="character" w:customStyle="1" w:styleId="25">
    <w:name w:val="9a1"/>
    <w:uiPriority w:val="0"/>
  </w:style>
  <w:style w:type="character" w:customStyle="1" w:styleId="26">
    <w:name w:val="9pt21"/>
    <w:uiPriority w:val="0"/>
    <w:rPr>
      <w:color w:val="333333"/>
      <w:sz w:val="18"/>
    </w:rPr>
  </w:style>
  <w:style w:type="paragraph" w:customStyle="1" w:styleId="27">
    <w:name w:val="Normal_2"/>
    <w:basedOn w:val="1"/>
    <w:uiPriority w:val="0"/>
    <w:pPr>
      <w:spacing w:line="360" w:lineRule="exact"/>
    </w:pPr>
    <w:rPr>
      <w:sz w:val="24"/>
    </w:rPr>
  </w:style>
  <w:style w:type="paragraph" w:customStyle="1" w:styleId="28">
    <w:name w:val="Char Char1 Char Char Char Char Char Char"/>
    <w:basedOn w:val="1"/>
    <w:uiPriority w:val="0"/>
    <w:pPr>
      <w:widowControl/>
      <w:spacing w:after="160" w:line="240" w:lineRule="exact"/>
      <w:jc w:val="left"/>
    </w:pPr>
  </w:style>
  <w:style w:type="paragraph" w:customStyle="1" w:styleId="29">
    <w:name w:val="Default"/>
    <w:uiPriority w:val="0"/>
    <w:pPr>
      <w:widowControl w:val="0"/>
      <w:autoSpaceDE w:val="0"/>
      <w:autoSpaceDN w:val="0"/>
      <w:adjustRightInd w:val="0"/>
    </w:pPr>
    <w:rPr>
      <w:rFonts w:ascii="楷体_GB2312" w:hAnsi="Times New Roman" w:eastAsia="楷体_GB2312" w:cs="Times New Roman"/>
      <w:lang w:val="en-US" w:eastAsia="zh-CN" w:bidi="ar-SA"/>
    </w:rPr>
  </w:style>
  <w:style w:type="paragraph" w:customStyle="1" w:styleId="30">
    <w:name w:val="列出段落1"/>
    <w:basedOn w:val="1"/>
    <w:qFormat/>
    <w:uiPriority w:val="34"/>
    <w:pPr>
      <w:ind w:firstLine="420" w:firstLineChars="200"/>
    </w:pPr>
    <w:rPr>
      <w:rFonts w:ascii="Calibri" w:hAnsi="Calibri"/>
      <w:szCs w:val="22"/>
    </w:rPr>
  </w:style>
  <w:style w:type="paragraph" w:customStyle="1" w:styleId="31">
    <w:name w:val="Achievement"/>
    <w:basedOn w:val="6"/>
    <w:uiPriority w:val="0"/>
    <w:pPr>
      <w:widowControl/>
      <w:spacing w:after="60" w:line="220" w:lineRule="atLeast"/>
      <w:ind w:left="780" w:hanging="420"/>
    </w:pPr>
    <w:rPr>
      <w:rFonts w:ascii="Arial" w:hAnsi="Arial"/>
      <w:spacing w:val="-5"/>
      <w:kern w:val="0"/>
      <w:sz w:val="20"/>
    </w:rPr>
  </w:style>
  <w:style w:type="paragraph" w:customStyle="1" w:styleId="32">
    <w:name w:val="列出段落2"/>
    <w:basedOn w:val="1"/>
    <w:uiPriority w:val="0"/>
    <w:pPr>
      <w:ind w:firstLine="420" w:firstLineChars="200"/>
    </w:pPr>
  </w:style>
  <w:style w:type="paragraph" w:customStyle="1" w:styleId="33">
    <w:name w:val="Subject Line"/>
    <w:basedOn w:val="1"/>
    <w:next w:val="6"/>
    <w:uiPriority w:val="0"/>
    <w:pPr>
      <w:widowControl/>
      <w:spacing w:after="220" w:line="220" w:lineRule="atLeast"/>
      <w:jc w:val="left"/>
    </w:pPr>
    <w:rPr>
      <w:rFonts w:ascii="Arial Black" w:hAnsi="Arial Black" w:eastAsia="Times New Roman"/>
      <w:spacing w:val="-10"/>
      <w:kern w:val="0"/>
      <w:sz w:val="20"/>
      <w:lang w:eastAsia="en-US"/>
    </w:r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1796</Words>
  <Characters>2081</Characters>
  <Lines>15</Lines>
  <Paragraphs>4</Paragraphs>
  <TotalTime>103</TotalTime>
  <ScaleCrop>false</ScaleCrop>
  <LinksUpToDate>false</LinksUpToDate>
  <CharactersWithSpaces>2110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2024-02-29T07:33:00Z</dcterms:created>
  <dc:creator>ssiwyj</dc:creator>
  <cp:lastModifiedBy>冯婷婷</cp:lastModifiedBy>
  <cp:lastPrinted>2024-11-11T03:20:00Z</cp:lastPrinted>
  <dcterms:modified xsi:type="dcterms:W3CDTF">2024-11-11T03:54:54Z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71CB7E0E570149DC8E106FB92EB277C0_13</vt:lpwstr>
  </property>
</Properties>
</file>